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List of Accomplishments</w:t>
      </w:r>
    </w:p>
    <w:p>
      <w:pPr>
        <w:pStyle w:val="Heading"/>
        <w:rPr/>
      </w:pPr>
      <w:r>
        <w:rPr/>
        <w:t>Sami Arap</w:t>
      </w:r>
    </w:p>
    <w:p>
      <w:pPr>
        <w:pStyle w:val="Heading"/>
        <w:rPr/>
      </w:pPr>
      <w:r>
        <w:rPr/>
        <w:t>Jan 1, 2001 – June 1, 2001</w:t>
      </w:r>
    </w:p>
    <w:p>
      <w:pPr>
        <w:pStyle w:val="Heading"/>
        <w:rPr/>
      </w:pPr>
      <w:r>
        <w:rPr/>
      </w:r>
    </w:p>
    <w:p>
      <w:pPr>
        <w:pStyle w:val="Normal"/>
        <w:spacing w:lineRule="atLeast" w:line="240"/>
        <w:jc w:val="center"/>
        <w:rPr>
          <w:rFonts w:ascii="Times New Roman" w:hAnsi="Times New Roman" w:cs="Times New Roman"/>
          <w:b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sz w:val="24"/>
          <w:u w:val="single"/>
          <w:lang w:eastAsia="en-US"/>
        </w:rPr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  <w:t>Power Trading: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</w:r>
    </w:p>
    <w:p>
      <w:pPr>
        <w:pStyle w:val="Normal"/>
        <w:numPr>
          <w:ilvl w:val="0"/>
          <w:numId w:val="8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Enron and Eletropaulo entered into a 10,000MWh swap (Enron sells in Jan’ 01 and buys in Jan’ 02);</w:t>
      </w:r>
    </w:p>
    <w:p>
      <w:pPr>
        <w:pStyle w:val="Normal"/>
        <w:numPr>
          <w:ilvl w:val="0"/>
          <w:numId w:val="11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Enron bought 5,800MWh from AES in Jan’ 01;</w:t>
      </w:r>
    </w:p>
    <w:p>
      <w:pPr>
        <w:pStyle w:val="Normal"/>
        <w:numPr>
          <w:ilvl w:val="0"/>
          <w:numId w:val="11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Enron bought 4,200MWh from Itambé/Tradener in Jan’ 01;</w:t>
      </w:r>
    </w:p>
    <w:p>
      <w:pPr>
        <w:pStyle w:val="Normal"/>
        <w:numPr>
          <w:ilvl w:val="0"/>
          <w:numId w:val="11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Enron negotiating Master PPAs with EDP, Light, AES, Duke, CESP, CSN, Tractebel/Gerasul;</w:t>
      </w:r>
    </w:p>
    <w:p>
      <w:pPr>
        <w:pStyle w:val="Normal"/>
        <w:numPr>
          <w:ilvl w:val="0"/>
          <w:numId w:val="11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Elektro negotiating its 2002/2003 short position with Gerasul (120MW);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Enron negotiating PPA with FURNAS a “collar type of contract” as follows:</w:t>
      </w:r>
    </w:p>
    <w:p>
      <w:pPr>
        <w:pStyle w:val="Normal"/>
        <w:tabs>
          <w:tab w:val="clear" w:pos="720"/>
          <w:tab w:val="left" w:pos="1422" w:leader="none"/>
        </w:tabs>
        <w:ind w:start="720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66,960MWh in Jan’ 02; and 60,480MWh in Feb’ 02;</w:t>
      </w:r>
    </w:p>
    <w:p>
      <w:pPr>
        <w:pStyle w:val="BodyTextIndent"/>
        <w:rPr/>
      </w:pPr>
      <w:r>
        <w:rPr/>
        <w:t>87,360MWh in Feb’ 03; and 96,720MWh bet. Mar’ 02 - Abr’03 (months of 31 days); and 93,600MWh (same period – months of 30 days);</w:t>
      </w:r>
    </w:p>
    <w:p>
      <w:pPr>
        <w:pStyle w:val="Normal"/>
        <w:ind w:start="720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14,880MWh bet. May’ 03 – Nov’ 03 (months of 31 days); 14,400MWh (same period – months of 30 days).</w:t>
      </w:r>
    </w:p>
    <w:p>
      <w:pPr>
        <w:pStyle w:val="Normal"/>
        <w:numPr>
          <w:ilvl w:val="0"/>
          <w:numId w:val="11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Elektro amended existing PPA (“Initial Contract”) with COPEL whereby it bought 50MW capacity and associated energy re. the Feb’ 02 thru Feb’ 05 period.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  <w:t>Power Origination: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</w:r>
    </w:p>
    <w:p>
      <w:pPr>
        <w:pStyle w:val="Normal"/>
        <w:numPr>
          <w:ilvl w:val="0"/>
          <w:numId w:val="10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Enron and Petrobras executed a non-binding LOI re. 2002-2011 Marketing Agreement (600MW); currently negotiating Consortium Agreement;</w:t>
      </w:r>
    </w:p>
    <w:p>
      <w:pPr>
        <w:pStyle w:val="Normal"/>
        <w:numPr>
          <w:ilvl w:val="0"/>
          <w:numId w:val="10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Enron buying up to 2.3MW of non-firm energy from Companhia Industrial Aliança Bondespachense;</w:t>
      </w:r>
    </w:p>
    <w:p>
      <w:pPr>
        <w:pStyle w:val="Normal"/>
        <w:numPr>
          <w:ilvl w:val="0"/>
          <w:numId w:val="10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Enron bought up to 1.2 MW of non-firm energy from Usina São José da Estiva (sugar mills);</w:t>
      </w:r>
    </w:p>
    <w:p>
      <w:pPr>
        <w:pStyle w:val="Normal"/>
        <w:numPr>
          <w:ilvl w:val="0"/>
          <w:numId w:val="7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Enron buying up to 6.7 MW of non-firm energy from three PCHs (small hydropower plants) owned by Amanary Eletricidade Ltda. (</w:t>
      </w:r>
      <w:r>
        <w:rPr>
          <w:rFonts w:cs="Times New Roman" w:ascii="Times New Roman" w:hAnsi="Times New Roman"/>
          <w:sz w:val="24"/>
          <w:lang w:val="pt-BR"/>
        </w:rPr>
        <w:t>PCH Batista, PCH Jorda Flor and PCH Pilar</w:t>
      </w:r>
      <w:r>
        <w:rPr>
          <w:rFonts w:cs="Times New Roman" w:ascii="Times New Roman" w:hAnsi="Times New Roman"/>
          <w:color w:val="000000"/>
          <w:sz w:val="24"/>
          <w:lang w:eastAsia="en-US"/>
        </w:rPr>
        <w:t>);</w:t>
      </w:r>
    </w:p>
    <w:p>
      <w:pPr>
        <w:pStyle w:val="Normal"/>
        <w:numPr>
          <w:ilvl w:val="0"/>
          <w:numId w:val="7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Enron negotiating Master PPA with EnergyWorks (IPP; owner of several generation assets);</w:t>
      </w:r>
    </w:p>
    <w:p>
      <w:pPr>
        <w:pStyle w:val="Normal"/>
        <w:numPr>
          <w:ilvl w:val="0"/>
          <w:numId w:val="10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 xml:space="preserve">Enron buying 2,880MWh/month of non-firm energy from </w:t>
      </w:r>
      <w:r>
        <w:rPr>
          <w:rFonts w:cs="Times New Roman" w:ascii="Times New Roman" w:hAnsi="Times New Roman"/>
          <w:sz w:val="24"/>
        </w:rPr>
        <w:t>Suape-CGDe-Koblitz Energia Ltda.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  <w:t>EnronOnLine: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Enron prepared PA and ETA for EOL-Brazil; currently working on final adjustments to the GTC.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  <w:t>General Matters: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</w:r>
    </w:p>
    <w:p>
      <w:pPr>
        <w:pStyle w:val="Normal"/>
        <w:numPr>
          <w:ilvl w:val="0"/>
          <w:numId w:val="5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Continuing legal training of Karla Azevedo;</w:t>
      </w:r>
    </w:p>
    <w:p>
      <w:pPr>
        <w:pStyle w:val="Normal"/>
        <w:numPr>
          <w:ilvl w:val="0"/>
          <w:numId w:val="5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Successful closing of John Hutten’s criminal case (former ESA employee; police investigation and lawsuit);</w:t>
      </w:r>
    </w:p>
    <w:p>
      <w:pPr>
        <w:pStyle w:val="Normal"/>
        <w:numPr>
          <w:ilvl w:val="0"/>
          <w:numId w:val="5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Supervising Patricia Dutra and Sandra Vassel (Administrative &amp; Institutional legal support);</w:t>
      </w:r>
    </w:p>
    <w:p>
      <w:pPr>
        <w:pStyle w:val="Normal"/>
        <w:numPr>
          <w:ilvl w:val="0"/>
          <w:numId w:val="5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Continuing interface with the Elektro lawyers.</w:t>
      </w:r>
      <w:r>
        <w:br w:type="page"/>
      </w:r>
    </w:p>
    <w:p>
      <w:pPr>
        <w:pStyle w:val="Normal"/>
        <w:spacing w:lineRule="atLeast" w:line="240"/>
        <w:jc w:val="center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  <w:t>Self Evaluation Report</w:t>
      </w:r>
    </w:p>
    <w:p>
      <w:pPr>
        <w:pStyle w:val="Heading"/>
        <w:rPr/>
      </w:pPr>
      <w:r>
        <w:rPr/>
        <w:t>Sami Arap</w:t>
      </w:r>
    </w:p>
    <w:p>
      <w:pPr>
        <w:pStyle w:val="Heading"/>
        <w:rPr/>
      </w:pPr>
      <w:r>
        <w:rPr/>
        <w:t>Jan 1, 2001 – June 1, 2001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  <w:t>Projects and activities I have worked on in this review period: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</w:r>
    </w:p>
    <w:p>
      <w:pPr>
        <w:pStyle w:val="Normal"/>
        <w:numPr>
          <w:ilvl w:val="0"/>
          <w:numId w:val="9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Assisting John Novak to manage all South America legal matters;</w:t>
      </w:r>
    </w:p>
    <w:p>
      <w:pPr>
        <w:pStyle w:val="Normal"/>
        <w:numPr>
          <w:ilvl w:val="0"/>
          <w:numId w:val="9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Legal assistance to all power trading and power origination deals in Brazil;</w:t>
      </w:r>
    </w:p>
    <w:p>
      <w:pPr>
        <w:pStyle w:val="Normal"/>
        <w:numPr>
          <w:ilvl w:val="0"/>
          <w:numId w:val="9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Assisting Luiz Watanabe in some legal issues of Eletrobolt;</w:t>
      </w:r>
    </w:p>
    <w:p>
      <w:pPr>
        <w:pStyle w:val="Normal"/>
        <w:numPr>
          <w:ilvl w:val="0"/>
          <w:numId w:val="9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Legal assistance to the commercial team with Eletrobolt’s equity sell down (Information Memorandum and Cas);</w:t>
      </w:r>
    </w:p>
    <w:p>
      <w:pPr>
        <w:pStyle w:val="Normal"/>
        <w:numPr>
          <w:ilvl w:val="0"/>
          <w:numId w:val="9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Legal assistance to the commercial team with RioGen’s non-binding LOI to be discussed with Petrobras.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  <w:t>Describe your major strenghts: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</w:r>
    </w:p>
    <w:p>
      <w:pPr>
        <w:pStyle w:val="Normal"/>
        <w:numPr>
          <w:ilvl w:val="0"/>
          <w:numId w:val="6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Effective use of Enron’s resource network;</w:t>
      </w:r>
    </w:p>
    <w:p>
      <w:pPr>
        <w:pStyle w:val="Normal"/>
        <w:numPr>
          <w:ilvl w:val="0"/>
          <w:numId w:val="6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Leadership; proactive attitude;</w:t>
      </w:r>
    </w:p>
    <w:p>
      <w:pPr>
        <w:pStyle w:val="Normal"/>
        <w:numPr>
          <w:ilvl w:val="0"/>
          <w:numId w:val="6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Good listener; communication skills; real team player;</w:t>
      </w:r>
    </w:p>
    <w:p>
      <w:pPr>
        <w:pStyle w:val="Normal"/>
        <w:numPr>
          <w:ilvl w:val="0"/>
          <w:numId w:val="6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International transactional experience;</w:t>
      </w:r>
    </w:p>
    <w:p>
      <w:pPr>
        <w:pStyle w:val="Normal"/>
        <w:numPr>
          <w:ilvl w:val="0"/>
          <w:numId w:val="6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Dedication; hard worker;</w:t>
      </w:r>
    </w:p>
    <w:p>
      <w:pPr>
        <w:pStyle w:val="Normal"/>
        <w:numPr>
          <w:ilvl w:val="0"/>
          <w:numId w:val="6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Ability to work in an environment under pressure and changing circumstances;</w:t>
      </w:r>
    </w:p>
    <w:p>
      <w:pPr>
        <w:pStyle w:val="Normal"/>
        <w:numPr>
          <w:ilvl w:val="0"/>
          <w:numId w:val="6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Strong technical and analytical skills.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  <w:t>Describe areas for further development to enhance your overall effectiveness: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b/>
          <w:color w:val="000000"/>
          <w:sz w:val="24"/>
          <w:u w:val="single"/>
          <w:lang w:eastAsia="en-US"/>
        </w:rPr>
      </w:pPr>
      <w:r>
        <w:rPr>
          <w:rFonts w:cs="Times New Roman" w:ascii="Times New Roman" w:hAnsi="Times New Roman"/>
          <w:b/>
          <w:color w:val="000000"/>
          <w:sz w:val="24"/>
          <w:u w:val="single"/>
          <w:lang w:eastAsia="en-US"/>
        </w:rPr>
      </w:r>
    </w:p>
    <w:p>
      <w:pPr>
        <w:pStyle w:val="Normal"/>
        <w:numPr>
          <w:ilvl w:val="0"/>
          <w:numId w:val="4"/>
        </w:numPr>
        <w:spacing w:lineRule="atLeast" w:line="24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lang w:eastAsia="en-US"/>
        </w:rPr>
        <w:t>Building a legal team in Brazil with solid transactional experience to allow me the opportunity to find time and learn in detail the Enron products available in North America.</w:t>
      </w:r>
    </w:p>
    <w:sectPr>
      <w:footerReference w:type="default" r:id="rId2"/>
      <w:type w:val="nextPage"/>
      <w:pgSz w:w="12240" w:h="15840"/>
      <w:pgMar w:left="1008" w:right="1008" w:gutter="0" w:header="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9360" w:leader="none"/>
      </w:tabs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20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lineRule="atLeast" w:line="240"/>
      <w:jc w:val="center"/>
      <w:outlineLvl w:val="7"/>
    </w:pPr>
    <w:rPr>
      <w:rFonts w:ascii="Tms Rmn;Times New Roman" w:hAnsi="Tms Rmn;Times New Roman" w:cs="Tms Rmn;Times New Roman"/>
      <w:b/>
      <w:sz w:val="24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b w:val="false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tLeast" w:line="240"/>
      <w:jc w:val="center"/>
    </w:pPr>
    <w:rPr>
      <w:rFonts w:ascii="Times New Roman" w:hAnsi="Times New Roman" w:cs="Times New Roman"/>
      <w:b/>
      <w:color w:val="000000"/>
      <w:sz w:val="24"/>
      <w:u w:val="single"/>
      <w:lang w:eastAsia="en-US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sz w:val="26"/>
    </w:rPr>
  </w:style>
  <w:style w:type="paragraph" w:styleId="BodyText3">
    <w:name w:val="Body Text 3"/>
    <w:basedOn w:val="Normal"/>
    <w:qFormat/>
    <w:pPr>
      <w:jc w:val="both"/>
    </w:pPr>
    <w:rPr>
      <w:sz w:val="26"/>
    </w:rPr>
  </w:style>
  <w:style w:type="paragraph" w:styleId="BodyTextIndent">
    <w:name w:val="Body Text Indent"/>
    <w:basedOn w:val="Normal"/>
    <w:pPr>
      <w:ind w:hanging="0" w:start="720" w:end="0"/>
      <w:jc w:val="both"/>
    </w:pPr>
    <w:rPr>
      <w:rFonts w:ascii="Times New Roman" w:hAnsi="Times New Roman" w:cs="Times New Roman"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Lgleifax.dot</Template>
  <TotalTime>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2001-05-24T19:45:00Z</dcterms:created>
  <dc:creator>ENRON INTERNATIONAL</dc:creator>
  <dc:description/>
  <dc:language>en-CA</dc:language>
  <cp:lastModifiedBy>Enron</cp:lastModifiedBy>
  <cp:lastPrinted>2001-02-21T09:28:00Z</cp:lastPrinted>
  <dcterms:modified xsi:type="dcterms:W3CDTF">2001-06-04T11:48:00Z</dcterms:modified>
  <cp:revision>15</cp:revision>
  <dc:subject/>
  <dc:title>Enron International Fax.</dc:title>
</cp:coreProperties>
</file>