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102" w:type="dxa"/>
        <w:jc w:val="start"/>
        <w:tblInd w:w="-8" w:type="dxa"/>
        <w:tblLayout w:type="fixed"/>
        <w:tblCellMar>
          <w:top w:w="0" w:type="dxa"/>
          <w:start w:w="0" w:type="dxa"/>
          <w:bottom w:w="0" w:type="dxa"/>
          <w:end w:w="0" w:type="dxa"/>
        </w:tblCellMar>
      </w:tblPr>
      <w:tblGrid>
        <w:gridCol w:w="4536"/>
        <w:gridCol w:w="3566"/>
      </w:tblGrid>
      <w:tr>
        <w:trPr/>
        <w:tc>
          <w:tcPr>
            <w:tcW w:w="4536" w:type="dxa"/>
            <w:tcBorders/>
          </w:tcPr>
          <w:p>
            <w:pPr>
              <w:pStyle w:val="CSFBDate"/>
              <w:rPr/>
            </w:pPr>
            <w:bookmarkStart w:id="0" w:name="_CSFBStandardUSLetter"/>
            <w:bookmarkEnd w:id="0"/>
            <w:r>
              <w:rPr/>
              <w:t>October 3, 2000</w:t>
            </w:r>
          </w:p>
          <w:p>
            <w:pPr>
              <w:pStyle w:val="CSFBRecipientAddress"/>
              <w:spacing w:before="0" w:after="220"/>
              <w:rPr/>
            </w:pPr>
            <w:r>
              <w:rPr/>
              <w:br/>
            </w:r>
          </w:p>
        </w:tc>
        <w:tc>
          <w:tcPr>
            <w:tcW w:w="3566" w:type="dxa"/>
            <w:tcBorders/>
          </w:tcPr>
          <w:p>
            <w:pPr>
              <w:pStyle w:val="CSFBSenderInfo"/>
              <w:rPr/>
            </w:pPr>
            <w:r>
              <w:rPr/>
              <w:t>JAMES BARTLETT</w:t>
              <w:br/>
              <w:t>Director</w:t>
            </w:r>
          </w:p>
          <w:p>
            <w:pPr>
              <w:pStyle w:val="CSFBSenderPhone"/>
              <w:rPr/>
            </w:pPr>
            <w:r>
              <w:rPr/>
              <w:t>212 325 4841</w:t>
            </w:r>
          </w:p>
          <w:p>
            <w:pPr>
              <w:pStyle w:val="CSFBSenderEmail"/>
              <w:rPr/>
            </w:pPr>
            <w:r>
              <w:rPr/>
            </w:r>
          </w:p>
        </w:tc>
      </w:tr>
    </w:tbl>
    <w:p>
      <w:pPr>
        <w:pStyle w:val="CSFBPara"/>
        <w:rPr/>
      </w:pPr>
      <w:r>
        <w:rPr/>
      </w:r>
    </w:p>
    <w:p>
      <w:pPr>
        <w:pStyle w:val="Normal"/>
        <w:rPr/>
      </w:pPr>
      <w:r>
        <w:rPr/>
        <w:t>Name</w:t>
      </w:r>
    </w:p>
    <w:p>
      <w:pPr>
        <w:pStyle w:val="Normal"/>
        <w:rPr/>
      </w:pPr>
      <w:r>
        <w:rPr/>
        <w:t>Title</w:t>
      </w:r>
    </w:p>
    <w:p>
      <w:pPr>
        <w:pStyle w:val="Normal"/>
        <w:rPr/>
      </w:pPr>
      <w:r>
        <w:rPr/>
        <w:t>Address</w:t>
      </w:r>
    </w:p>
    <w:p>
      <w:pPr>
        <w:pStyle w:val="Normal"/>
        <w:rPr/>
      </w:pPr>
      <w:r>
        <w:rPr/>
        <w:t>Address</w:t>
      </w:r>
    </w:p>
    <w:p>
      <w:pPr>
        <w:pStyle w:val="Normal"/>
        <w:rPr/>
      </w:pPr>
      <w:r>
        <w:rPr/>
      </w:r>
    </w:p>
    <w:p>
      <w:pPr>
        <w:pStyle w:val="Normal"/>
        <w:rPr/>
      </w:pPr>
      <w:r>
        <w:rPr/>
      </w:r>
    </w:p>
    <w:p>
      <w:pPr>
        <w:pStyle w:val="Normal"/>
        <w:rPr/>
      </w:pPr>
      <w:r>
        <w:rPr/>
        <w:t>Dear __________:</w:t>
      </w:r>
    </w:p>
    <w:p>
      <w:pPr>
        <w:pStyle w:val="Normal"/>
        <w:rPr/>
      </w:pPr>
      <w:r>
        <w:rPr/>
      </w:r>
    </w:p>
    <w:p>
      <w:pPr>
        <w:pStyle w:val="Normal"/>
        <w:rPr/>
      </w:pPr>
      <w:r>
        <w:rPr/>
        <w:t>Enron North America Corp. and Credit Suisse First Boston are pleased to inform you that, based on your Round I proposal, [Company Name] has been selected to participate in Round II of the bidding for the following project(s):</w:t>
      </w:r>
    </w:p>
    <w:p>
      <w:pPr>
        <w:pStyle w:val="Normal"/>
        <w:rPr/>
      </w:pPr>
      <w:r>
        <w:rPr/>
      </w:r>
    </w:p>
    <w:p>
      <w:pPr>
        <w:pStyle w:val="Normal"/>
        <w:rPr/>
      </w:pPr>
      <w:r>
        <w:rPr/>
        <w:tab/>
        <w:t>[ ___________________________________ ]</w:t>
      </w:r>
    </w:p>
    <w:p>
      <w:pPr>
        <w:pStyle w:val="Normal"/>
        <w:rPr/>
      </w:pPr>
      <w:r>
        <w:rPr/>
        <w:tab/>
        <w:t>[ ___________________________________ ]</w:t>
      </w:r>
    </w:p>
    <w:p>
      <w:pPr>
        <w:pStyle w:val="Normal"/>
        <w:rPr/>
      </w:pPr>
      <w:r>
        <w:rPr/>
        <w:tab/>
        <w:t>[ ___________________________________ ]</w:t>
      </w:r>
    </w:p>
    <w:p>
      <w:pPr>
        <w:pStyle w:val="Normal"/>
        <w:rPr/>
      </w:pPr>
      <w:r>
        <w:rPr/>
        <w:tab/>
        <w:t>[ ___________________________________ ]</w:t>
      </w:r>
    </w:p>
    <w:p>
      <w:pPr>
        <w:pStyle w:val="Normal"/>
        <w:rPr/>
      </w:pPr>
      <w:r>
        <w:rPr/>
      </w:r>
    </w:p>
    <w:p>
      <w:pPr>
        <w:pStyle w:val="Normal"/>
        <w:rPr/>
      </w:pPr>
      <w:r>
        <w:rPr/>
        <w:t>Board approved, fully binding Round II bids are due by 5:00p.m. E.S.T. on November 3, 2000, with closing for [Pastoria and Project LV] to occur by December 18, 2000 and closing of the [Peakers] to occur after receipt of all regulatory approvals, which is expected to occur during the first quarter of 2001.</w:t>
      </w:r>
    </w:p>
    <w:p>
      <w:pPr>
        <w:pStyle w:val="Normal"/>
        <w:rPr/>
      </w:pPr>
      <w:r>
        <w:rPr/>
      </w:r>
    </w:p>
    <w:p>
      <w:pPr>
        <w:pStyle w:val="Heading2"/>
        <w:ind w:hanging="0" w:start="0"/>
        <w:rPr>
          <w:rFonts w:ascii="Arial" w:hAnsi="Arial" w:eastAsia="Arial" w:cs="Arial"/>
          <w:sz w:val="22"/>
          <w:szCs w:val="22"/>
        </w:rPr>
      </w:pPr>
      <w:r>
        <w:rPr>
          <w:rFonts w:eastAsia="Arial" w:cs="Arial" w:ascii="Arial" w:hAnsi="Arial"/>
          <w:sz w:val="22"/>
          <w:szCs w:val="22"/>
        </w:rPr>
      </w:r>
    </w:p>
    <w:p>
      <w:pPr>
        <w:pStyle w:val="Heading2"/>
        <w:ind w:hanging="0" w:start="0"/>
        <w:rPr>
          <w:rFonts w:ascii="Arial" w:hAnsi="Arial" w:eastAsia="Arial" w:cs="Arial"/>
          <w:sz w:val="22"/>
          <w:szCs w:val="22"/>
        </w:rPr>
      </w:pPr>
      <w:r>
        <w:rPr>
          <w:rFonts w:eastAsia="Arial" w:cs="Arial" w:ascii="Arial" w:hAnsi="Arial"/>
          <w:sz w:val="22"/>
          <w:szCs w:val="22"/>
        </w:rPr>
        <w:t>Round II Bidding Instructions</w:t>
      </w:r>
    </w:p>
    <w:p>
      <w:pPr>
        <w:pStyle w:val="Header"/>
        <w:tabs>
          <w:tab w:val="clear" w:pos="4320"/>
          <w:tab w:val="clear" w:pos="8640"/>
        </w:tabs>
        <w:rPr>
          <w:rFonts w:ascii="Arial" w:hAnsi="Arial" w:eastAsia="Arial" w:cs="Arial"/>
          <w:sz w:val="22"/>
          <w:szCs w:val="22"/>
        </w:rPr>
      </w:pPr>
      <w:r>
        <w:rPr>
          <w:rFonts w:eastAsia="Arial" w:cs="Arial"/>
          <w:sz w:val="22"/>
          <w:szCs w:val="22"/>
        </w:rPr>
      </w:r>
    </w:p>
    <w:p>
      <w:pPr>
        <w:pStyle w:val="Normal"/>
        <w:rPr/>
      </w:pPr>
      <w:r>
        <w:rPr/>
        <w:t>Round II proposals should include the following information:</w:t>
      </w:r>
    </w:p>
    <w:p>
      <w:pPr>
        <w:pStyle w:val="Normal"/>
        <w:rPr/>
      </w:pPr>
      <w:r>
        <w:rPr/>
      </w:r>
    </w:p>
    <w:p>
      <w:pPr>
        <w:pStyle w:val="Normal"/>
        <w:numPr>
          <w:ilvl w:val="0"/>
          <w:numId w:val="2"/>
        </w:numPr>
        <w:tabs>
          <w:tab w:val="left" w:pos="0" w:leader="none"/>
          <w:tab w:val="left" w:pos="720" w:leader="none"/>
        </w:tabs>
        <w:spacing w:before="80" w:after="80"/>
        <w:ind w:hanging="720" w:start="1440" w:end="0"/>
        <w:rPr/>
      </w:pPr>
      <w:r>
        <w:rPr/>
        <w:t>A binding purchase proposal including confirmation of the consideration to be paid.</w:t>
      </w:r>
    </w:p>
    <w:p>
      <w:pPr>
        <w:pStyle w:val="Normal"/>
        <w:numPr>
          <w:ilvl w:val="0"/>
          <w:numId w:val="2"/>
        </w:numPr>
        <w:tabs>
          <w:tab w:val="left" w:pos="0" w:leader="none"/>
          <w:tab w:val="left" w:pos="720" w:leader="none"/>
        </w:tabs>
        <w:spacing w:before="80" w:after="80"/>
        <w:ind w:hanging="720" w:start="1440" w:end="0"/>
        <w:rPr/>
      </w:pPr>
      <w:r>
        <w:rPr/>
        <w:t>A mark-up of the key transaction documents, drafts of which will be provided next week.</w:t>
      </w:r>
    </w:p>
    <w:p>
      <w:pPr>
        <w:pStyle w:val="Normal"/>
        <w:numPr>
          <w:ilvl w:val="0"/>
          <w:numId w:val="2"/>
        </w:numPr>
        <w:tabs>
          <w:tab w:val="left" w:pos="0" w:leader="none"/>
          <w:tab w:val="left" w:pos="720" w:leader="none"/>
        </w:tabs>
        <w:spacing w:before="80" w:after="80"/>
        <w:ind w:hanging="720" w:start="1440" w:end="0"/>
        <w:rPr/>
      </w:pPr>
      <w:r>
        <w:rPr/>
        <w:t>Confirmation that all required due diligence activities have been completed.</w:t>
      </w:r>
    </w:p>
    <w:p>
      <w:pPr>
        <w:pStyle w:val="Normal"/>
        <w:numPr>
          <w:ilvl w:val="0"/>
          <w:numId w:val="2"/>
        </w:numPr>
        <w:tabs>
          <w:tab w:val="left" w:pos="0" w:leader="none"/>
          <w:tab w:val="left" w:pos="720" w:leader="none"/>
        </w:tabs>
        <w:spacing w:before="80" w:after="80"/>
        <w:ind w:hanging="360" w:start="1440" w:end="0"/>
        <w:rPr/>
      </w:pPr>
      <w:r>
        <w:rPr/>
        <w:t>Confirmation that all required internal approvals have been obtained.</w:t>
      </w:r>
      <w:r>
        <w:br w:type="page"/>
      </w:r>
    </w:p>
    <w:p>
      <w:pPr>
        <w:pStyle w:val="Heading1"/>
        <w:ind w:hanging="0" w:start="0"/>
        <w:rPr>
          <w:rFonts w:ascii="Arial" w:hAnsi="Arial" w:eastAsia="Arial" w:cs="Arial"/>
          <w:sz w:val="22"/>
          <w:szCs w:val="22"/>
          <w:u w:val="single"/>
        </w:rPr>
      </w:pPr>
      <w:r>
        <w:rPr>
          <w:rFonts w:eastAsia="Arial" w:cs="Arial" w:ascii="Arial" w:hAnsi="Arial"/>
          <w:sz w:val="22"/>
          <w:szCs w:val="22"/>
          <w:u w:val="single"/>
        </w:rPr>
        <w:t>Round II Schedule</w:t>
      </w:r>
    </w:p>
    <w:p>
      <w:pPr>
        <w:pStyle w:val="Normal"/>
        <w:rPr>
          <w:rFonts w:ascii="Arial" w:hAnsi="Arial" w:eastAsia="Arial" w:cs="Arial"/>
          <w:sz w:val="22"/>
          <w:szCs w:val="22"/>
          <w:u w:val="single"/>
        </w:rPr>
      </w:pPr>
      <w:r>
        <w:rPr>
          <w:rFonts w:eastAsia="Arial" w:cs="Arial"/>
          <w:sz w:val="22"/>
          <w:szCs w:val="22"/>
          <w:u w:val="single"/>
        </w:rPr>
      </w:r>
    </w:p>
    <w:p>
      <w:pPr>
        <w:pStyle w:val="Normal"/>
        <w:rPr/>
      </w:pPr>
      <w:r>
        <w:rPr/>
        <w:t>The schedule for due diligence and submission of Round II proposals is:</w:t>
      </w:r>
    </w:p>
    <w:p>
      <w:pPr>
        <w:pStyle w:val="Normal"/>
        <w:rPr/>
      </w:pPr>
      <w:r>
        <w:rPr/>
      </w:r>
    </w:p>
    <w:tbl>
      <w:tblPr>
        <w:tblW w:w="10010" w:type="dxa"/>
        <w:jc w:val="start"/>
        <w:tblInd w:w="0" w:type="dxa"/>
        <w:tblLayout w:type="fixed"/>
        <w:tblCellMar>
          <w:top w:w="0" w:type="dxa"/>
          <w:start w:w="0" w:type="dxa"/>
          <w:bottom w:w="0" w:type="dxa"/>
          <w:end w:w="0" w:type="dxa"/>
        </w:tblCellMar>
      </w:tblPr>
      <w:tblGrid>
        <w:gridCol w:w="7810"/>
        <w:gridCol w:w="2200"/>
      </w:tblGrid>
      <w:tr>
        <w:trPr/>
        <w:tc>
          <w:tcPr>
            <w:tcW w:w="7810" w:type="dxa"/>
            <w:tcBorders>
              <w:top w:val="single" w:sz="18" w:space="0" w:color="000000"/>
              <w:bottom w:val="single" w:sz="6" w:space="0" w:color="000000"/>
            </w:tcBorders>
          </w:tcPr>
          <w:p>
            <w:pPr>
              <w:pStyle w:val="TableHeadings"/>
              <w:spacing w:before="36" w:after="36"/>
              <w:jc w:val="start"/>
              <w:rPr/>
            </w:pPr>
            <w:r>
              <w:rPr/>
              <w:t>action item</w:t>
            </w:r>
          </w:p>
        </w:tc>
        <w:tc>
          <w:tcPr>
            <w:tcW w:w="2200" w:type="dxa"/>
            <w:tcBorders>
              <w:top w:val="single" w:sz="18" w:space="0" w:color="000000"/>
              <w:bottom w:val="single" w:sz="6" w:space="0" w:color="000000"/>
            </w:tcBorders>
          </w:tcPr>
          <w:p>
            <w:pPr>
              <w:pStyle w:val="TableHeadings"/>
              <w:spacing w:before="36" w:after="36"/>
              <w:jc w:val="center"/>
              <w:rPr/>
            </w:pPr>
            <w:r>
              <w:rPr/>
              <w:t>timing</w:t>
            </w:r>
          </w:p>
        </w:tc>
      </w:tr>
      <w:tr>
        <w:trPr/>
        <w:tc>
          <w:tcPr>
            <w:tcW w:w="7810" w:type="dxa"/>
            <w:tcBorders/>
          </w:tcPr>
          <w:p>
            <w:pPr>
              <w:pStyle w:val="TableText"/>
              <w:spacing w:before="216" w:after="36"/>
              <w:rPr>
                <w:sz w:val="18"/>
                <w:szCs w:val="18"/>
              </w:rPr>
            </w:pPr>
            <w:r>
              <w:rPr>
                <w:sz w:val="18"/>
                <w:szCs w:val="18"/>
              </w:rPr>
              <w:t>Determination and Notification of Short-Listed Prospective Purchasers</w:t>
            </w:r>
          </w:p>
        </w:tc>
        <w:tc>
          <w:tcPr>
            <w:tcW w:w="2200" w:type="dxa"/>
            <w:tcBorders/>
          </w:tcPr>
          <w:p>
            <w:pPr>
              <w:pStyle w:val="TableText"/>
              <w:spacing w:before="216" w:after="36"/>
              <w:jc w:val="center"/>
              <w:rPr>
                <w:sz w:val="18"/>
                <w:szCs w:val="18"/>
              </w:rPr>
            </w:pPr>
            <w:r>
              <w:rPr>
                <w:sz w:val="18"/>
                <w:szCs w:val="18"/>
              </w:rPr>
              <w:t>Week of Oct. 2</w:t>
            </w:r>
          </w:p>
        </w:tc>
      </w:tr>
      <w:tr>
        <w:trPr/>
        <w:tc>
          <w:tcPr>
            <w:tcW w:w="7810" w:type="dxa"/>
            <w:tcBorders/>
          </w:tcPr>
          <w:p>
            <w:pPr>
              <w:pStyle w:val="TableText"/>
              <w:spacing w:before="36" w:after="36"/>
              <w:rPr>
                <w:sz w:val="18"/>
                <w:szCs w:val="18"/>
              </w:rPr>
            </w:pPr>
            <w:r>
              <w:rPr>
                <w:sz w:val="18"/>
                <w:szCs w:val="18"/>
              </w:rPr>
              <w:t>Electronic Data Room Availability</w:t>
            </w:r>
          </w:p>
        </w:tc>
        <w:tc>
          <w:tcPr>
            <w:tcW w:w="2200" w:type="dxa"/>
            <w:tcBorders/>
          </w:tcPr>
          <w:p>
            <w:pPr>
              <w:pStyle w:val="TableText"/>
              <w:spacing w:before="36" w:after="36"/>
              <w:jc w:val="center"/>
              <w:rPr>
                <w:sz w:val="18"/>
                <w:szCs w:val="18"/>
              </w:rPr>
            </w:pPr>
            <w:r>
              <w:rPr>
                <w:sz w:val="18"/>
                <w:szCs w:val="18"/>
              </w:rPr>
              <w:t>Oct. 9 – Oct. 30</w:t>
            </w:r>
          </w:p>
        </w:tc>
      </w:tr>
      <w:tr>
        <w:trPr/>
        <w:tc>
          <w:tcPr>
            <w:tcW w:w="7810" w:type="dxa"/>
            <w:tcBorders/>
          </w:tcPr>
          <w:p>
            <w:pPr>
              <w:pStyle w:val="TableText"/>
              <w:spacing w:before="36" w:after="36"/>
              <w:rPr>
                <w:sz w:val="18"/>
                <w:szCs w:val="18"/>
              </w:rPr>
            </w:pPr>
            <w:r>
              <w:rPr>
                <w:sz w:val="18"/>
                <w:szCs w:val="18"/>
              </w:rPr>
              <w:t>Schedule Site Visits</w:t>
            </w:r>
          </w:p>
        </w:tc>
        <w:tc>
          <w:tcPr>
            <w:tcW w:w="2200" w:type="dxa"/>
            <w:tcBorders/>
          </w:tcPr>
          <w:p>
            <w:pPr>
              <w:pStyle w:val="TableText"/>
              <w:spacing w:before="36" w:after="36"/>
              <w:jc w:val="center"/>
              <w:rPr>
                <w:sz w:val="18"/>
                <w:szCs w:val="18"/>
              </w:rPr>
            </w:pPr>
            <w:r>
              <w:rPr>
                <w:sz w:val="18"/>
                <w:szCs w:val="18"/>
              </w:rPr>
              <w:t>Week of Oct. 9</w:t>
            </w:r>
          </w:p>
        </w:tc>
      </w:tr>
      <w:tr>
        <w:trPr/>
        <w:tc>
          <w:tcPr>
            <w:tcW w:w="7810" w:type="dxa"/>
            <w:tcBorders/>
          </w:tcPr>
          <w:p>
            <w:pPr>
              <w:pStyle w:val="TableText"/>
              <w:spacing w:before="36" w:after="36"/>
              <w:rPr>
                <w:sz w:val="18"/>
                <w:szCs w:val="18"/>
              </w:rPr>
            </w:pPr>
            <w:r>
              <w:rPr>
                <w:sz w:val="18"/>
                <w:szCs w:val="18"/>
              </w:rPr>
              <w:t>Site Visits</w:t>
            </w:r>
          </w:p>
        </w:tc>
        <w:tc>
          <w:tcPr>
            <w:tcW w:w="2200" w:type="dxa"/>
            <w:tcBorders/>
          </w:tcPr>
          <w:p>
            <w:pPr>
              <w:pStyle w:val="TableText"/>
              <w:spacing w:before="36" w:after="36"/>
              <w:jc w:val="center"/>
              <w:rPr>
                <w:sz w:val="18"/>
                <w:szCs w:val="18"/>
              </w:rPr>
            </w:pPr>
            <w:r>
              <w:rPr>
                <w:sz w:val="18"/>
                <w:szCs w:val="18"/>
              </w:rPr>
              <w:t>Oct. 16 – Nov. 2</w:t>
            </w:r>
          </w:p>
        </w:tc>
      </w:tr>
      <w:tr>
        <w:trPr/>
        <w:tc>
          <w:tcPr>
            <w:tcW w:w="7810" w:type="dxa"/>
            <w:tcBorders/>
          </w:tcPr>
          <w:p>
            <w:pPr>
              <w:pStyle w:val="TableText"/>
              <w:spacing w:before="36" w:after="36"/>
              <w:rPr>
                <w:sz w:val="18"/>
                <w:szCs w:val="18"/>
              </w:rPr>
            </w:pPr>
            <w:r>
              <w:rPr>
                <w:sz w:val="18"/>
                <w:szCs w:val="18"/>
              </w:rPr>
              <w:t>Q&amp;A Session with Enron Management</w:t>
            </w:r>
          </w:p>
        </w:tc>
        <w:tc>
          <w:tcPr>
            <w:tcW w:w="2200" w:type="dxa"/>
            <w:tcBorders/>
          </w:tcPr>
          <w:p>
            <w:pPr>
              <w:pStyle w:val="TableText"/>
              <w:spacing w:before="36" w:after="36"/>
              <w:jc w:val="center"/>
              <w:rPr>
                <w:sz w:val="18"/>
                <w:szCs w:val="18"/>
              </w:rPr>
            </w:pPr>
            <w:r>
              <w:rPr>
                <w:sz w:val="18"/>
                <w:szCs w:val="18"/>
              </w:rPr>
              <w:t>Oct. 16 – Nov. 2</w:t>
            </w:r>
          </w:p>
        </w:tc>
      </w:tr>
      <w:tr>
        <w:trPr/>
        <w:tc>
          <w:tcPr>
            <w:tcW w:w="7810" w:type="dxa"/>
            <w:tcBorders/>
          </w:tcPr>
          <w:p>
            <w:pPr>
              <w:pStyle w:val="TableText"/>
              <w:spacing w:before="36" w:after="36"/>
              <w:rPr>
                <w:sz w:val="18"/>
                <w:szCs w:val="18"/>
              </w:rPr>
            </w:pPr>
            <w:r>
              <w:rPr>
                <w:sz w:val="18"/>
                <w:szCs w:val="18"/>
              </w:rPr>
              <w:t>Round II Bids Submitted</w:t>
            </w:r>
          </w:p>
        </w:tc>
        <w:tc>
          <w:tcPr>
            <w:tcW w:w="2200" w:type="dxa"/>
            <w:tcBorders/>
          </w:tcPr>
          <w:p>
            <w:pPr>
              <w:pStyle w:val="TableText"/>
              <w:spacing w:before="36" w:after="36"/>
              <w:jc w:val="center"/>
              <w:rPr>
                <w:sz w:val="18"/>
                <w:szCs w:val="18"/>
              </w:rPr>
            </w:pPr>
            <w:r>
              <w:rPr>
                <w:sz w:val="18"/>
                <w:szCs w:val="18"/>
              </w:rPr>
              <w:t>Nov. 3</w:t>
            </w:r>
          </w:p>
        </w:tc>
      </w:tr>
      <w:tr>
        <w:trPr/>
        <w:tc>
          <w:tcPr>
            <w:tcW w:w="7810" w:type="dxa"/>
            <w:tcBorders/>
          </w:tcPr>
          <w:p>
            <w:pPr>
              <w:pStyle w:val="TableText"/>
              <w:spacing w:before="36" w:after="36"/>
              <w:rPr>
                <w:sz w:val="18"/>
                <w:szCs w:val="18"/>
              </w:rPr>
            </w:pPr>
            <w:r>
              <w:rPr>
                <w:sz w:val="18"/>
                <w:szCs w:val="18"/>
              </w:rPr>
              <w:t>Selection of Preferred Purchaser and Execution of Definitive Transaction Documents</w:t>
            </w:r>
          </w:p>
        </w:tc>
        <w:tc>
          <w:tcPr>
            <w:tcW w:w="2200" w:type="dxa"/>
            <w:tcBorders/>
          </w:tcPr>
          <w:p>
            <w:pPr>
              <w:pStyle w:val="TableText"/>
              <w:spacing w:before="36" w:after="36"/>
              <w:jc w:val="center"/>
              <w:rPr>
                <w:sz w:val="18"/>
                <w:szCs w:val="18"/>
              </w:rPr>
            </w:pPr>
            <w:r>
              <w:rPr>
                <w:sz w:val="18"/>
                <w:szCs w:val="18"/>
              </w:rPr>
              <w:t>Week of Nov. 6</w:t>
            </w:r>
          </w:p>
        </w:tc>
      </w:tr>
      <w:tr>
        <w:trPr/>
        <w:tc>
          <w:tcPr>
            <w:tcW w:w="7810" w:type="dxa"/>
            <w:tcBorders/>
          </w:tcPr>
          <w:p>
            <w:pPr>
              <w:pStyle w:val="TableText"/>
              <w:spacing w:before="36" w:after="36"/>
              <w:rPr>
                <w:sz w:val="18"/>
                <w:szCs w:val="18"/>
              </w:rPr>
            </w:pPr>
            <w:r>
              <w:rPr>
                <w:sz w:val="18"/>
                <w:szCs w:val="18"/>
              </w:rPr>
              <w:t>Closing (Pastoria, Project LV)</w:t>
            </w:r>
          </w:p>
        </w:tc>
        <w:tc>
          <w:tcPr>
            <w:tcW w:w="2200" w:type="dxa"/>
            <w:tcBorders/>
          </w:tcPr>
          <w:p>
            <w:pPr>
              <w:pStyle w:val="TableText"/>
              <w:spacing w:before="36" w:after="36"/>
              <w:jc w:val="center"/>
              <w:rPr>
                <w:sz w:val="18"/>
                <w:szCs w:val="18"/>
              </w:rPr>
            </w:pPr>
            <w:r>
              <w:rPr>
                <w:sz w:val="18"/>
                <w:szCs w:val="18"/>
              </w:rPr>
              <w:t>By December 18, 2000</w:t>
            </w:r>
          </w:p>
        </w:tc>
      </w:tr>
      <w:tr>
        <w:trPr/>
        <w:tc>
          <w:tcPr>
            <w:tcW w:w="7810" w:type="dxa"/>
            <w:tcBorders>
              <w:bottom w:val="single" w:sz="6" w:space="0" w:color="000000"/>
            </w:tcBorders>
          </w:tcPr>
          <w:p>
            <w:pPr>
              <w:pStyle w:val="TableText"/>
              <w:spacing w:before="36" w:after="216"/>
              <w:rPr>
                <w:sz w:val="18"/>
                <w:szCs w:val="18"/>
              </w:rPr>
            </w:pPr>
            <w:r>
              <w:rPr>
                <w:sz w:val="18"/>
                <w:szCs w:val="18"/>
              </w:rPr>
              <w:t>Closing (Peakers)</w:t>
            </w:r>
          </w:p>
        </w:tc>
        <w:tc>
          <w:tcPr>
            <w:tcW w:w="2200" w:type="dxa"/>
            <w:tcBorders>
              <w:bottom w:val="single" w:sz="6" w:space="0" w:color="000000"/>
            </w:tcBorders>
          </w:tcPr>
          <w:p>
            <w:pPr>
              <w:pStyle w:val="TableText"/>
              <w:spacing w:before="36" w:after="216"/>
              <w:jc w:val="center"/>
              <w:rPr>
                <w:sz w:val="18"/>
                <w:szCs w:val="18"/>
              </w:rPr>
            </w:pPr>
            <w:r>
              <w:rPr>
                <w:sz w:val="18"/>
                <w:szCs w:val="18"/>
              </w:rPr>
              <w:t>By Q1, 2001</w:t>
            </w:r>
          </w:p>
        </w:tc>
      </w:tr>
    </w:tbl>
    <w:p>
      <w:pPr>
        <w:pStyle w:val="Normal"/>
        <w:rPr/>
      </w:pPr>
      <w:r>
        <w:rPr/>
      </w:r>
    </w:p>
    <w:tbl>
      <w:tblPr>
        <w:tblW w:w="10065" w:type="dxa"/>
        <w:jc w:val="start"/>
        <w:tblInd w:w="-2" w:type="dxa"/>
        <w:tblLayout w:type="fixed"/>
        <w:tblCellMar>
          <w:top w:w="0" w:type="dxa"/>
          <w:start w:w="108" w:type="dxa"/>
          <w:bottom w:w="0" w:type="dxa"/>
          <w:end w:w="108" w:type="dxa"/>
        </w:tblCellMar>
      </w:tblPr>
      <w:tblGrid>
        <w:gridCol w:w="3355"/>
        <w:gridCol w:w="3355"/>
        <w:gridCol w:w="3355"/>
      </w:tblGrid>
      <w:tr>
        <w:trPr>
          <w:trHeight w:val="2160" w:hRule="atLeast"/>
        </w:trPr>
        <w:tc>
          <w:tcPr>
            <w:tcW w:w="3355" w:type="dxa"/>
            <w:tcBorders/>
          </w:tcPr>
          <w:p>
            <w:pPr>
              <w:pStyle w:val="Heading5"/>
              <w:tabs>
                <w:tab w:val="clear" w:pos="720"/>
                <w:tab w:val="left" w:pos="3300" w:leader="none"/>
              </w:tabs>
              <w:ind w:hanging="0" w:start="116" w:end="0"/>
              <w:jc w:val="start"/>
              <w:rPr>
                <w:sz w:val="16"/>
                <w:szCs w:val="16"/>
              </w:rPr>
            </w:pPr>
            <w:r>
              <w:rPr>
                <w:sz w:val="16"/>
                <w:szCs w:val="16"/>
              </w:rPr>
              <w:t>AUGUST 2000</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bCs/>
                <w:sz w:val="16"/>
                <w:szCs w:val="16"/>
              </w:rPr>
            </w:pPr>
            <w:r>
              <w:rPr>
                <w:b/>
                <w:bCs/>
                <w:sz w:val="16"/>
                <w:szCs w:val="16"/>
              </w:rPr>
              <w:t>S</w:t>
              <w:tab/>
              <w:t>M</w:t>
              <w:tab/>
              <w:t>T</w:t>
              <w:tab/>
              <w:t>W</w:t>
              <w:tab/>
              <w:t>T</w:t>
              <w:tab/>
              <w:t>F</w:t>
              <w:tab/>
              <w:t>S</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ab/>
              <w:tab/>
              <w:t>1</w:t>
              <w:tab/>
              <w:t>2</w:t>
              <w:tab/>
              <w:t>3</w:t>
              <w:tab/>
              <w:t>4</w:t>
              <w:tab/>
              <w:t>5</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6</w:t>
              <w:tab/>
              <w:t>7</w:t>
              <w:tab/>
              <w:t>8</w:t>
              <w:tab/>
              <w:t>9</w:t>
              <w:tab/>
              <w:t>10</w:t>
              <w:tab/>
              <w:t>11</w:t>
              <w:tab/>
              <w:t>12</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13</w:t>
              <w:tab/>
              <w:t>14</w:t>
              <w:tab/>
              <w:t>15</w:t>
              <w:tab/>
              <w:t>16</w:t>
              <w:tab/>
              <w:t>17</w:t>
              <w:tab/>
              <w:t>18</w:t>
              <w:tab/>
              <w:t>19</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20</w:t>
              <w:tab/>
              <w:t>21</w:t>
              <w:tab/>
              <w:t>22</w:t>
              <w:tab/>
              <w:t>23</w:t>
              <w:tab/>
              <w:t>24</w:t>
              <w:tab/>
              <w:t>25</w:t>
              <w:tab/>
              <w:t>26</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27</w:t>
              <w:tab/>
              <w:t>28</w:t>
              <w:tab/>
              <w:t>29</w:t>
              <w:tab/>
              <w:t>30</w:t>
              <w:tab/>
              <w:t>31</w:t>
              <w:tab/>
              <w:tab/>
            </w:r>
          </w:p>
          <w:p>
            <w:pPr>
              <w:pStyle w:val="Normal"/>
              <w:jc w:val="center"/>
              <w:rPr>
                <w:sz w:val="16"/>
                <w:szCs w:val="16"/>
              </w:rPr>
            </w:pPr>
            <w:r>
              <w:rPr>
                <w:sz w:val="16"/>
                <w:szCs w:val="16"/>
              </w:rPr>
            </w:r>
          </w:p>
        </w:tc>
        <w:tc>
          <w:tcPr>
            <w:tcW w:w="3355" w:type="dxa"/>
            <w:tcBorders/>
          </w:tcPr>
          <w:p>
            <w:pPr>
              <w:pStyle w:val="Heading5"/>
              <w:tabs>
                <w:tab w:val="clear" w:pos="720"/>
                <w:tab w:val="left" w:pos="3300" w:leader="none"/>
              </w:tabs>
              <w:ind w:hanging="0" w:start="116" w:end="0"/>
              <w:jc w:val="start"/>
              <w:rPr>
                <w:sz w:val="16"/>
                <w:szCs w:val="16"/>
              </w:rPr>
            </w:pPr>
            <w:r>
              <w:rPr>
                <w:sz w:val="16"/>
                <w:szCs w:val="16"/>
              </w:rPr>
              <w:t>SEPTEMBER 2000</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bCs/>
                <w:sz w:val="16"/>
                <w:szCs w:val="16"/>
              </w:rPr>
            </w:pPr>
            <w:r>
              <w:rPr>
                <w:b/>
                <w:bCs/>
                <w:sz w:val="16"/>
                <w:szCs w:val="16"/>
              </w:rPr>
              <w:t>S</w:t>
              <w:tab/>
              <w:t>M</w:t>
              <w:tab/>
              <w:t>T</w:t>
              <w:tab/>
              <w:t>W</w:t>
              <w:tab/>
              <w:t>T</w:t>
              <w:tab/>
              <w:t>F</w:t>
              <w:tab/>
              <w:t>S</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ab/>
              <w:tab/>
              <w:tab/>
              <w:tab/>
              <w:tab/>
              <w:t>1</w:t>
              <w:tab/>
              <w:t>2</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3</w:t>
              <w:tab/>
              <w:t>4</w:t>
              <w:tab/>
              <w:t>5</w:t>
              <w:tab/>
              <w:t>6</w:t>
              <w:tab/>
              <w:t>7</w:t>
              <w:tab/>
              <w:t>8</w:t>
              <w:tab/>
              <w:t>9</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10</w:t>
              <w:tab/>
              <w:t>11</w:t>
              <w:tab/>
              <w:t>12</w:t>
              <w:tab/>
              <w:t>13</w:t>
              <w:tab/>
              <w:t>14</w:t>
              <w:tab/>
              <w:t>15</w:t>
              <w:tab/>
              <w:t>16</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17</w:t>
              <w:tab/>
              <w:t>18</w:t>
              <w:tab/>
              <w:t>19</w:t>
              <w:tab/>
              <w:t>20</w:t>
              <w:tab/>
              <w:t>21</w:t>
              <w:tab/>
              <w:t>22</w:t>
              <w:tab/>
              <w:t>23</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24</w:t>
              <w:tab/>
              <w:t>25</w:t>
              <w:tab/>
              <w:t>26</w:t>
              <w:tab/>
              <w:t>27</w:t>
              <w:tab/>
              <w:t>28</w:t>
              <w:tab/>
              <w:t>29</w:t>
              <w:tab/>
              <w:t>30</w:t>
            </w:r>
          </w:p>
          <w:p>
            <w:pPr>
              <w:pStyle w:val="Normal"/>
              <w:jc w:val="center"/>
              <w:rPr>
                <w:sz w:val="16"/>
                <w:szCs w:val="16"/>
              </w:rPr>
            </w:pPr>
            <w:r>
              <w:rPr>
                <w:sz w:val="16"/>
                <w:szCs w:val="16"/>
              </w:rPr>
            </w:r>
          </w:p>
        </w:tc>
        <w:tc>
          <w:tcPr>
            <w:tcW w:w="3355" w:type="dxa"/>
            <w:tcBorders/>
          </w:tcPr>
          <w:p>
            <w:pPr>
              <w:pStyle w:val="Heading5"/>
              <w:tabs>
                <w:tab w:val="clear" w:pos="720"/>
                <w:tab w:val="left" w:pos="3300" w:leader="none"/>
              </w:tabs>
              <w:ind w:hanging="0" w:start="116" w:end="0"/>
              <w:jc w:val="start"/>
              <w:rPr>
                <w:sz w:val="16"/>
                <w:szCs w:val="16"/>
              </w:rPr>
            </w:pPr>
            <w:r>
              <w:rPr>
                <w:sz w:val="16"/>
                <w:szCs w:val="16"/>
              </w:rPr>
              <w:t>OCTOBER 2000</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bCs/>
                <w:sz w:val="16"/>
                <w:szCs w:val="16"/>
              </w:rPr>
            </w:pPr>
            <w:r>
              <w:rPr>
                <w:b/>
                <w:bCs/>
                <w:sz w:val="16"/>
                <w:szCs w:val="16"/>
              </w:rPr>
              <w:t>S</w:t>
              <w:tab/>
              <w:t>M</w:t>
              <w:tab/>
              <w:t>T</w:t>
              <w:tab/>
              <w:t>W</w:t>
              <w:tab/>
              <w:t>T</w:t>
              <w:tab/>
              <w:t>F</w:t>
              <w:tab/>
              <w:t>S</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1</w:t>
              <w:tab/>
              <w:t>2</w:t>
              <w:tab/>
              <w:t>3</w:t>
              <w:tab/>
              <w:t>4</w:t>
              <w:tab/>
              <w:t>5</w:t>
              <w:tab/>
              <w:t>6</w:t>
              <w:tab/>
              <w:t>7</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8</w:t>
              <w:tab/>
              <w:t>9</w:t>
              <w:tab/>
              <w:t>10</w:t>
              <w:tab/>
              <w:t>11</w:t>
              <w:tab/>
              <w:t>12</w:t>
              <w:tab/>
              <w:t>13</w:t>
              <w:tab/>
              <w:t>14</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15</w:t>
              <w:tab/>
              <w:t>16</w:t>
              <w:tab/>
              <w:t>17</w:t>
              <w:tab/>
              <w:t>18</w:t>
              <w:tab/>
              <w:t>19</w:t>
              <w:tab/>
              <w:t>20</w:t>
              <w:tab/>
              <w:t>21</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22</w:t>
              <w:tab/>
              <w:t>23</w:t>
              <w:tab/>
              <w:t>24</w:t>
              <w:tab/>
              <w:t>25</w:t>
              <w:tab/>
              <w:t>26</w:t>
              <w:tab/>
              <w:t>27</w:t>
              <w:tab/>
              <w:t>28</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29</w:t>
              <w:tab/>
              <w:t>30</w:t>
              <w:tab/>
              <w:t>31</w:t>
              <w:tab/>
              <w:tab/>
              <w:tab/>
              <w:tab/>
            </w:r>
          </w:p>
          <w:p>
            <w:pPr>
              <w:pStyle w:val="Normal"/>
              <w:jc w:val="center"/>
              <w:rPr>
                <w:sz w:val="16"/>
                <w:szCs w:val="16"/>
              </w:rPr>
            </w:pPr>
            <w:r>
              <w:rPr>
                <w:sz w:val="16"/>
                <w:szCs w:val="16"/>
              </w:rPr>
            </w:r>
          </w:p>
        </w:tc>
      </w:tr>
    </w:tbl>
    <w:p>
      <w:pPr>
        <w:pStyle w:val="Normal"/>
        <w:rPr/>
      </w:pPr>
      <w:r>
        <w:rPr/>
      </w:r>
    </w:p>
    <w:tbl>
      <w:tblPr>
        <w:tblW w:w="7150" w:type="dxa"/>
        <w:jc w:val="start"/>
        <w:tblInd w:w="1318" w:type="dxa"/>
        <w:tblLayout w:type="fixed"/>
        <w:tblCellMar>
          <w:top w:w="0" w:type="dxa"/>
          <w:start w:w="108" w:type="dxa"/>
          <w:bottom w:w="0" w:type="dxa"/>
          <w:end w:w="108" w:type="dxa"/>
        </w:tblCellMar>
      </w:tblPr>
      <w:tblGrid>
        <w:gridCol w:w="3520"/>
        <w:gridCol w:w="3630"/>
      </w:tblGrid>
      <w:tr>
        <w:trPr>
          <w:trHeight w:val="2160" w:hRule="atLeast"/>
        </w:trPr>
        <w:tc>
          <w:tcPr>
            <w:tcW w:w="3520" w:type="dxa"/>
            <w:tcBorders/>
          </w:tcPr>
          <w:p>
            <w:pPr>
              <w:pStyle w:val="Heading5"/>
              <w:tabs>
                <w:tab w:val="clear" w:pos="720"/>
                <w:tab w:val="left" w:pos="3300" w:leader="none"/>
              </w:tabs>
              <w:ind w:hanging="0" w:start="116" w:end="0"/>
              <w:jc w:val="start"/>
              <w:rPr>
                <w:sz w:val="16"/>
                <w:szCs w:val="16"/>
              </w:rPr>
            </w:pPr>
            <w:r>
              <w:rPr>
                <w:sz w:val="16"/>
                <w:szCs w:val="16"/>
              </w:rPr>
              <w:t>NOVEMBER 2000</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bCs/>
                <w:sz w:val="16"/>
                <w:szCs w:val="16"/>
              </w:rPr>
            </w:pPr>
            <w:r>
              <w:rPr>
                <w:b/>
                <w:bCs/>
                <w:sz w:val="16"/>
                <w:szCs w:val="16"/>
              </w:rPr>
              <w:t>S</w:t>
              <w:tab/>
              <w:t>M</w:t>
              <w:tab/>
              <w:t>T</w:t>
              <w:tab/>
              <w:t>W</w:t>
              <w:tab/>
              <w:t>T</w:t>
              <w:tab/>
              <w:t>F</w:t>
              <w:tab/>
              <w:t>S</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ab/>
              <w:tab/>
              <w:tab/>
              <w:t>1</w:t>
              <w:tab/>
              <w:t>2</w:t>
              <w:tab/>
              <w:t>3</w:t>
              <w:tab/>
              <w:t>4</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5</w:t>
              <w:tab/>
              <w:t>6</w:t>
              <w:tab/>
              <w:t>7</w:t>
              <w:tab/>
              <w:t>8</w:t>
              <w:tab/>
              <w:t>9</w:t>
              <w:tab/>
              <w:t>10</w:t>
              <w:tab/>
              <w:t>11</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12</w:t>
              <w:tab/>
              <w:t>13</w:t>
              <w:tab/>
              <w:t>14</w:t>
              <w:tab/>
              <w:t>15</w:t>
              <w:tab/>
              <w:t>16</w:t>
              <w:tab/>
              <w:t>17</w:t>
              <w:tab/>
              <w:t>18</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19</w:t>
              <w:tab/>
              <w:t>20</w:t>
              <w:tab/>
              <w:t>21</w:t>
              <w:tab/>
              <w:t>22</w:t>
              <w:tab/>
              <w:t>23</w:t>
              <w:tab/>
              <w:t>24</w:t>
              <w:tab/>
              <w:t>25</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26</w:t>
              <w:tab/>
              <w:t>27</w:t>
              <w:tab/>
              <w:t>28</w:t>
              <w:tab/>
              <w:t>29</w:t>
              <w:tab/>
              <w:t>30</w:t>
              <w:tab/>
              <w:tab/>
            </w:r>
          </w:p>
          <w:p>
            <w:pPr>
              <w:pStyle w:val="Normal"/>
              <w:jc w:val="center"/>
              <w:rPr>
                <w:sz w:val="16"/>
                <w:szCs w:val="16"/>
              </w:rPr>
            </w:pPr>
            <w:r>
              <w:rPr>
                <w:sz w:val="16"/>
                <w:szCs w:val="16"/>
              </w:rPr>
            </w:r>
          </w:p>
        </w:tc>
        <w:tc>
          <w:tcPr>
            <w:tcW w:w="3630" w:type="dxa"/>
            <w:tcBorders/>
          </w:tcPr>
          <w:p>
            <w:pPr>
              <w:pStyle w:val="Heading5"/>
              <w:tabs>
                <w:tab w:val="clear" w:pos="720"/>
                <w:tab w:val="left" w:pos="3300" w:leader="none"/>
              </w:tabs>
              <w:ind w:hanging="0" w:start="116" w:end="0"/>
              <w:jc w:val="start"/>
              <w:rPr>
                <w:sz w:val="16"/>
                <w:szCs w:val="16"/>
              </w:rPr>
            </w:pPr>
            <w:r>
              <w:rPr>
                <w:sz w:val="16"/>
                <w:szCs w:val="16"/>
              </w:rPr>
              <w:t>DECEMBER 2000</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bCs/>
                <w:sz w:val="16"/>
                <w:szCs w:val="16"/>
              </w:rPr>
            </w:pPr>
            <w:r>
              <w:rPr>
                <w:b/>
                <w:bCs/>
                <w:sz w:val="16"/>
                <w:szCs w:val="16"/>
              </w:rPr>
              <w:t>S</w:t>
              <w:tab/>
              <w:t>M</w:t>
              <w:tab/>
              <w:t>T</w:t>
              <w:tab/>
              <w:t>W</w:t>
              <w:tab/>
              <w:t>T</w:t>
              <w:tab/>
              <w:t>F</w:t>
              <w:tab/>
              <w:t>S</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ab/>
              <w:tab/>
              <w:tab/>
              <w:tab/>
              <w:tab/>
              <w:t>1</w:t>
              <w:tab/>
              <w:t>2</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3</w:t>
              <w:tab/>
              <w:t>4</w:t>
              <w:tab/>
              <w:t>5</w:t>
              <w:tab/>
              <w:t>6</w:t>
              <w:tab/>
              <w:t>7</w:t>
              <w:tab/>
              <w:t>8</w:t>
              <w:tab/>
              <w:t>9</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10</w:t>
              <w:tab/>
              <w:t>11</w:t>
              <w:tab/>
              <w:t>12</w:t>
              <w:tab/>
              <w:t>13</w:t>
              <w:tab/>
              <w:t>14</w:t>
              <w:tab/>
              <w:t>15</w:t>
              <w:tab/>
              <w:t>16</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17</w:t>
              <w:tab/>
              <w:t>18</w:t>
              <w:tab/>
              <w:t>19</w:t>
              <w:tab/>
              <w:t>20</w:t>
              <w:tab/>
              <w:t>21</w:t>
              <w:tab/>
              <w:t>22</w:t>
              <w:tab/>
              <w:t>23</w:t>
            </w:r>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szCs w:val="16"/>
              </w:rPr>
            </w:pPr>
            <w:r>
              <w:rPr>
                <w:sz w:val="16"/>
                <w:szCs w:val="16"/>
              </w:rPr>
              <w:t>24</w:t>
              <w:tab/>
              <w:t>25</w:t>
              <w:tab/>
              <w:t>26</w:t>
              <w:tab/>
              <w:t>27</w:t>
              <w:tab/>
              <w:t>28</w:t>
              <w:tab/>
              <w:t>29</w:t>
              <w:tab/>
              <w:t>30</w:t>
            </w:r>
          </w:p>
          <w:p>
            <w:pPr>
              <w:pStyle w:val="Normal"/>
              <w:jc w:val="center"/>
              <w:rPr>
                <w:sz w:val="16"/>
                <w:szCs w:val="16"/>
              </w:rPr>
            </w:pPr>
            <w:r>
              <w:rPr>
                <w:sz w:val="16"/>
                <w:szCs w:val="16"/>
              </w:rPr>
            </w:r>
          </w:p>
        </w:tc>
      </w:tr>
    </w:tbl>
    <w:p>
      <w:pPr>
        <w:pStyle w:val="Header"/>
        <w:tabs>
          <w:tab w:val="clear" w:pos="4320"/>
          <w:tab w:val="clear" w:pos="8640"/>
        </w:tabs>
        <w:rPr/>
      </w:pPr>
      <w:r>
        <w:rPr/>
      </w:r>
    </w:p>
    <w:p>
      <w:pPr>
        <w:pStyle w:val="Heading1"/>
        <w:tabs>
          <w:tab w:val="clear" w:pos="720"/>
          <w:tab w:val="left" w:pos="360" w:leader="none"/>
        </w:tabs>
        <w:ind w:hanging="0" w:start="0"/>
        <w:rPr>
          <w:rFonts w:ascii="Arial" w:hAnsi="Arial" w:eastAsia="Arial" w:cs="Arial"/>
          <w:sz w:val="22"/>
          <w:szCs w:val="22"/>
          <w:u w:val="single"/>
        </w:rPr>
      </w:pPr>
      <w:r>
        <w:rPr>
          <w:rFonts w:eastAsia="Arial" w:cs="Arial" w:ascii="Arial" w:hAnsi="Arial"/>
          <w:sz w:val="22"/>
          <w:szCs w:val="22"/>
          <w:u w:val="single"/>
        </w:rPr>
        <w:t xml:space="preserve">Due Diligence </w:t>
      </w:r>
    </w:p>
    <w:p>
      <w:pPr>
        <w:pStyle w:val="Header"/>
        <w:tabs>
          <w:tab w:val="clear" w:pos="4320"/>
          <w:tab w:val="clear" w:pos="8640"/>
        </w:tabs>
        <w:rPr>
          <w:rFonts w:ascii="Arial" w:hAnsi="Arial" w:eastAsia="Arial" w:cs="Arial"/>
          <w:sz w:val="22"/>
          <w:szCs w:val="22"/>
          <w:u w:val="single"/>
        </w:rPr>
      </w:pPr>
      <w:r>
        <w:rPr>
          <w:rFonts w:eastAsia="Arial" w:cs="Arial"/>
          <w:sz w:val="22"/>
          <w:szCs w:val="22"/>
          <w:u w:val="single"/>
        </w:rPr>
      </w:r>
    </w:p>
    <w:p>
      <w:pPr>
        <w:pStyle w:val="Normal"/>
        <w:rPr/>
      </w:pPr>
      <w:r>
        <w:rPr/>
        <w:t>Enron North America Corporation has established an electronic data room which contains management presentations as well as all due diligence documents for the [List Project Names] projects.  This data room is accessible through the internet from any personal computer.  Please see the attached data room procedures for the details on gaining access to the electronic data room.</w:t>
      </w:r>
    </w:p>
    <w:p>
      <w:pPr>
        <w:pStyle w:val="Normal"/>
        <w:rPr/>
      </w:pPr>
      <w:r>
        <w:rPr/>
      </w:r>
    </w:p>
    <w:p>
      <w:pPr>
        <w:pStyle w:val="Normal"/>
        <w:rPr/>
      </w:pPr>
      <w:r>
        <w:rPr/>
        <w:t>You will have access to the electronic data room from October 9 through October 30, 2000.</w:t>
      </w:r>
    </w:p>
    <w:p>
      <w:pPr>
        <w:pStyle w:val="Heading4"/>
        <w:ind w:hanging="0" w:start="0"/>
        <w:rPr/>
      </w:pPr>
      <w:r>
        <w:rPr/>
        <w:t>Management Presentations</w:t>
      </w:r>
    </w:p>
    <w:p>
      <w:pPr>
        <w:pStyle w:val="Normal"/>
        <w:rPr/>
      </w:pPr>
      <w:r>
        <w:rPr/>
      </w:r>
    </w:p>
    <w:p>
      <w:pPr>
        <w:pStyle w:val="Normal"/>
        <w:rPr/>
      </w:pPr>
      <w:r>
        <w:rPr/>
        <w:t>Enron has prepared detailed management presentations that are available online in the electronic data room.  These presentations provide an overview of each project and should be viewed prior to reviewing the due diligence documents.  Enron North America Corp. management will also be available for meetings with Round II bidders to answer any questions.  Meetings will be scheduled between October 16 and November 2, 2000.</w:t>
      </w:r>
    </w:p>
    <w:p>
      <w:pPr>
        <w:pStyle w:val="Normal"/>
        <w:rPr/>
      </w:pPr>
      <w:r>
        <w:rPr/>
      </w:r>
    </w:p>
    <w:p>
      <w:pPr>
        <w:pStyle w:val="Heading1"/>
        <w:tabs>
          <w:tab w:val="clear" w:pos="720"/>
          <w:tab w:val="left" w:pos="360" w:leader="none"/>
        </w:tabs>
        <w:ind w:hanging="0" w:start="0"/>
        <w:rPr>
          <w:rFonts w:ascii="Arial" w:hAnsi="Arial" w:eastAsia="Arial" w:cs="Arial"/>
          <w:sz w:val="22"/>
          <w:szCs w:val="22"/>
          <w:u w:val="single"/>
        </w:rPr>
      </w:pPr>
      <w:r>
        <w:rPr>
          <w:rFonts w:eastAsia="Arial" w:cs="Arial" w:ascii="Arial" w:hAnsi="Arial"/>
          <w:sz w:val="22"/>
          <w:szCs w:val="22"/>
          <w:u w:val="single"/>
        </w:rPr>
        <w:t>Site Visits</w:t>
      </w:r>
    </w:p>
    <w:p>
      <w:pPr>
        <w:pStyle w:val="Normal"/>
        <w:rPr>
          <w:rFonts w:ascii="Arial" w:hAnsi="Arial" w:eastAsia="Arial" w:cs="Arial"/>
          <w:sz w:val="22"/>
          <w:szCs w:val="22"/>
          <w:u w:val="single"/>
        </w:rPr>
      </w:pPr>
      <w:r>
        <w:rPr>
          <w:rFonts w:eastAsia="Arial" w:cs="Arial"/>
          <w:sz w:val="22"/>
          <w:szCs w:val="22"/>
          <w:u w:val="single"/>
        </w:rPr>
      </w:r>
    </w:p>
    <w:p>
      <w:pPr>
        <w:pStyle w:val="Normal"/>
        <w:rPr/>
      </w:pPr>
      <w:r>
        <w:rPr/>
        <w:t>All site visits should be arranged through [Don Miller] [Ron Coker].  Each company will be limited to one day at each site.  A member of Enron’s project team will be available at each site to conduct the tour of the site and to answer any questions.  The procedures for scheduling and conducting your site visit are included in the attached Data Room and Site Visit Procedures and Indices.  Site visits will be scheduled between October 16 and November 2, 2000.</w:t>
      </w:r>
    </w:p>
    <w:p>
      <w:pPr>
        <w:pStyle w:val="Normal"/>
        <w:rPr/>
      </w:pPr>
      <w:r>
        <w:rPr/>
      </w:r>
    </w:p>
    <w:p>
      <w:pPr>
        <w:pStyle w:val="Normal"/>
        <w:rPr/>
      </w:pPr>
      <w:r>
        <w:rPr/>
      </w:r>
    </w:p>
    <w:p>
      <w:pPr>
        <w:pStyle w:val="Heading3"/>
        <w:ind w:hanging="0" w:start="0"/>
        <w:rPr>
          <w:i w:val="false"/>
          <w:i w:val="false"/>
          <w:iCs w:val="false"/>
        </w:rPr>
      </w:pPr>
      <w:r>
        <w:rPr>
          <w:i w:val="false"/>
          <w:iCs w:val="false"/>
        </w:rPr>
        <w:t>Additional Information</w:t>
      </w:r>
    </w:p>
    <w:p>
      <w:pPr>
        <w:pStyle w:val="Normal"/>
        <w:rPr>
          <w:i/>
          <w:i/>
          <w:iCs/>
        </w:rPr>
      </w:pPr>
      <w:r>
        <w:rPr>
          <w:i/>
          <w:iCs/>
        </w:rPr>
      </w:r>
    </w:p>
    <w:p>
      <w:pPr>
        <w:pStyle w:val="Normal"/>
        <w:tabs>
          <w:tab w:val="clear" w:pos="720"/>
          <w:tab w:val="left" w:pos="360" w:leader="none"/>
        </w:tabs>
        <w:rPr>
          <w:i/>
          <w:i/>
          <w:iCs/>
          <w:u w:val="single"/>
        </w:rPr>
      </w:pPr>
      <w:r>
        <w:rPr>
          <w:i/>
          <w:iCs/>
          <w:u w:val="single"/>
        </w:rPr>
        <w:t>Lincoln Energy Center Contract</w:t>
      </w:r>
    </w:p>
    <w:p>
      <w:pPr>
        <w:pStyle w:val="Normal"/>
        <w:rPr>
          <w:i/>
          <w:i/>
          <w:iCs/>
          <w:u w:val="single"/>
        </w:rPr>
      </w:pPr>
      <w:r>
        <w:rPr>
          <w:i/>
          <w:iCs/>
          <w:u w:val="single"/>
        </w:rPr>
      </w:r>
    </w:p>
    <w:p>
      <w:pPr>
        <w:pStyle w:val="Normal"/>
        <w:rPr/>
      </w:pPr>
      <w:r>
        <w:rPr/>
        <w:t>As previously disclosed in the information memorandum, the Lincoln Energy Center Project has entered into a contract to sell a portion of its output (___ MW) for a certain period of time (___ years).  That contract is available in the electronic data room.</w:t>
      </w:r>
    </w:p>
    <w:p>
      <w:pPr>
        <w:pStyle w:val="Normal"/>
        <w:rPr/>
      </w:pPr>
      <w:r>
        <w:rPr/>
      </w:r>
    </w:p>
    <w:p>
      <w:pPr>
        <w:pStyle w:val="Normal"/>
        <w:rPr/>
      </w:pPr>
      <w:r>
        <w:rPr/>
        <w:t xml:space="preserve">Enron North America Corp. believes that it is essential that bidders closely review the terms of this contract.  The contract specifies that Commonwealth Edison will pay a capacity payment to the Lincoln Energy Center project and will pay </w:t>
      </w:r>
      <w:r>
        <w:rPr>
          <w:u w:val="single"/>
        </w:rPr>
        <w:t>market prices</w:t>
      </w:r>
      <w:r>
        <w:rPr/>
        <w:t xml:space="preserve"> for any energy provided by the Project.  This arrangement provides Commonwealth Edison with assured capacity to serve its customers, while also providing a substantial economic enhancement to the Lincoln Energy Center Project.  The Project is able to retain all of the economic benefits of high energy prices as well as all of the volatility value associated with owning a merchant peaking plant, while also enjoying an incremental assured revenue stream from the contractual capacity payments. Round II bidders are strongly encouraged to consider the incremental value of this contract in preparing Round II bids.</w:t>
      </w:r>
    </w:p>
    <w:p>
      <w:pPr>
        <w:pStyle w:val="Normal"/>
        <w:rPr/>
      </w:pPr>
      <w:r>
        <w:rPr/>
      </w:r>
    </w:p>
    <w:p>
      <w:pPr>
        <w:pStyle w:val="Normal"/>
        <w:tabs>
          <w:tab w:val="clear" w:pos="720"/>
          <w:tab w:val="left" w:pos="360" w:leader="none"/>
        </w:tabs>
        <w:rPr>
          <w:i/>
          <w:i/>
          <w:iCs/>
          <w:u w:val="single"/>
        </w:rPr>
      </w:pPr>
      <w:r>
        <w:rPr>
          <w:i/>
          <w:iCs/>
          <w:u w:val="single"/>
        </w:rPr>
        <w:t>Gleason Interconnect Agreement</w:t>
      </w:r>
    </w:p>
    <w:p>
      <w:pPr>
        <w:pStyle w:val="Normal"/>
        <w:rPr>
          <w:i/>
          <w:i/>
          <w:iCs/>
          <w:u w:val="single"/>
        </w:rPr>
      </w:pPr>
      <w:r>
        <w:rPr>
          <w:i/>
          <w:iCs/>
          <w:u w:val="single"/>
        </w:rPr>
      </w:r>
    </w:p>
    <w:p>
      <w:pPr>
        <w:pStyle w:val="Normal"/>
        <w:rPr/>
      </w:pPr>
      <w:r>
        <w:rPr/>
        <w:t>Pursuant to the terms of the [interconnection agreement] between Gleason and the T.V.A. (which is available in the electronic data room), Gleason is obligated to pay for up to $_________ of upgrades to the T.V.A. transmission system.  To date, $_________ has been paid for these transmission upgrades, while the Project remains obligated to pay for the remaining upgrades at a future date.</w:t>
      </w:r>
    </w:p>
    <w:p>
      <w:pPr>
        <w:pStyle w:val="Normal"/>
        <w:rPr/>
      </w:pPr>
      <w:r>
        <w:rPr/>
      </w:r>
    </w:p>
    <w:p>
      <w:pPr>
        <w:pStyle w:val="Normal"/>
        <w:rPr/>
      </w:pPr>
      <w:r>
        <w:rPr/>
        <w:t>The amounts paid for these upgrades will be returned to the Project in the form of transmission credits.  To date, the Project has received $_________ million in transmission credits.  The [interconnect agreement] provides that any amount paid but not received as credits by 2009 will be refunded at that time.  Therefore, the net effect of the interconnect agreement is that the Project currently has a receivable balance of $_______ from T.V.A. and will be obligated to advance additional funds in the future, all of which will be returned to the Project by 2009.</w:t>
      </w:r>
    </w:p>
    <w:p>
      <w:pPr>
        <w:pStyle w:val="Normal"/>
        <w:rPr/>
      </w:pPr>
      <w:r>
        <w:rPr/>
      </w:r>
    </w:p>
    <w:p>
      <w:pPr>
        <w:pStyle w:val="Normal"/>
        <w:rPr/>
      </w:pPr>
      <w:r>
        <w:rPr/>
        <w:t>Transaction documents will be forwarded to you on October [9], 2000.</w:t>
      </w:r>
    </w:p>
    <w:p>
      <w:pPr>
        <w:pStyle w:val="Normal"/>
        <w:rPr/>
      </w:pPr>
      <w:r>
        <w:rPr/>
      </w:r>
    </w:p>
    <w:p>
      <w:pPr>
        <w:pStyle w:val="Normal"/>
        <w:rPr/>
      </w:pPr>
      <w:r>
        <w:rPr/>
        <w:t>Enron North America Corp. and Credit Suisse First Boston appreciate your effort in providing the Round I proposal and look forward to assisting you in performing the due diligence required for your Round II proposal.  Please contact any of the individuals named on the attached Contact List with any questions.</w:t>
      </w:r>
    </w:p>
    <w:p>
      <w:pPr>
        <w:pStyle w:val="Normal"/>
        <w:rPr/>
      </w:pPr>
      <w:r>
        <w:rPr/>
      </w:r>
    </w:p>
    <w:p>
      <w:pPr>
        <w:pStyle w:val="Normal"/>
        <w:rPr/>
      </w:pPr>
      <w:r>
        <w:rPr/>
      </w:r>
    </w:p>
    <w:p>
      <w:pPr>
        <w:pStyle w:val="Normal"/>
        <w:rPr/>
      </w:pPr>
      <w:r>
        <w:rPr/>
      </w:r>
    </w:p>
    <w:p>
      <w:pPr>
        <w:pStyle w:val="Normal"/>
        <w:rPr/>
      </w:pPr>
      <w:r>
        <w:rPr/>
        <w:t>Sincerely,</w:t>
      </w:r>
    </w:p>
    <w:p>
      <w:pPr>
        <w:pStyle w:val="Normal"/>
        <w:rPr/>
      </w:pPr>
      <w:r>
        <w:rPr/>
      </w:r>
    </w:p>
    <w:p>
      <w:pPr>
        <w:pStyle w:val="CSFBPara"/>
        <w:rPr/>
      </w:pPr>
      <w:r>
        <w:rPr/>
      </w:r>
    </w:p>
    <w:p>
      <w:pPr>
        <w:pStyle w:val="CSFBPara"/>
        <w:rPr/>
      </w:pPr>
      <w:r>
        <w:rPr/>
        <w:t>James Bartlett</w:t>
      </w:r>
    </w:p>
    <w:p>
      <w:pPr>
        <w:pStyle w:val="CSFBPara"/>
        <w:spacing w:before="0" w:after="220"/>
        <w:rPr/>
      </w:pPr>
      <w:r>
        <w:rPr/>
      </w:r>
    </w:p>
    <w:sectPr>
      <w:headerReference w:type="default" r:id="rId2"/>
      <w:headerReference w:type="first" r:id="rId3"/>
      <w:footerReference w:type="default" r:id="rId4"/>
      <w:footerReference w:type="first" r:id="rId5"/>
      <w:type w:val="nextPage"/>
      <w:pgSz w:w="12240" w:h="15840"/>
      <w:pgMar w:left="1814" w:right="2234" w:gutter="0" w:header="646" w:top="2738" w:footer="720" w:bottom="1077"/>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bookmarkStart w:id="1" w:name="CSFB_TagLine1"/>
    <w:r>
      <w:rPr>
        <w:sz w:val="16"/>
        <w:szCs w:val="16"/>
      </w:rPr>
      <w:fldChar w:fldCharType="begin"/>
    </w:r>
    <w:r>
      <w:rPr>
        <w:sz w:val="16"/>
        <w:szCs w:val="16"/>
      </w:rPr>
      <w:instrText xml:space="preserve"> FILENAME </w:instrText>
    </w:r>
    <w:r>
      <w:rPr>
        <w:sz w:val="16"/>
        <w:szCs w:val="16"/>
      </w:rPr>
      <w:fldChar w:fldCharType="separate"/>
    </w:r>
    <w:r>
      <w:rPr>
        <w:sz w:val="16"/>
        <w:szCs w:val="16"/>
      </w:rPr>
      <w:t>letter-f36ffb3cf22a8c066a1767cdd7afa5ba515061785d1e3521b91a118991483afa.doc</w:t>
    </w:r>
    <w:r>
      <w:rPr>
        <w:sz w:val="16"/>
        <w:szCs w:val="16"/>
      </w:rPr>
      <w:fldChar w:fldCharType="end"/>
    </w:r>
    <w:r>
      <w:rPr>
        <w:sz w:val="16"/>
        <w:szCs w:val="16"/>
      </w:rPr>
      <w:t xml:space="preserve">  </w:t>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r>
      <w:rPr>
        <w:sz w:val="16"/>
        <w:szCs w:val="16"/>
      </w:rPr>
      <w:t xml:space="preserve">  -  </w:t>
    </w:r>
    <w:r>
      <w:rPr>
        <w:sz w:val="16"/>
        <w:szCs w:val="16"/>
      </w:rPr>
      <w:fldChar w:fldCharType="begin"/>
    </w:r>
    <w:r>
      <w:rPr>
        <w:sz w:val="16"/>
        <w:szCs w:val="16"/>
      </w:rPr>
      <w:instrText xml:space="preserve"> TIME \@"H:mm\ AM/PM" </w:instrText>
    </w:r>
    <w:r>
      <w:rPr>
        <w:sz w:val="16"/>
        <w:szCs w:val="16"/>
      </w:rPr>
      <w:fldChar w:fldCharType="separate"/>
    </w:r>
    <w:r>
      <w:rPr>
        <w:sz w:val="16"/>
        <w:szCs w:val="16"/>
      </w:rPr>
      <w:t>9:33 AM</w:t>
    </w:r>
    <w:r>
      <w:rPr>
        <w:sz w:val="16"/>
        <w:szCs w:val="16"/>
      </w:rPr>
      <w:fldChar w:fldCharType="end"/>
    </w:r>
    <w:bookmarkEnd w:id="1"/>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bookmarkStart w:id="2" w:name="CSFB_TagLine2"/>
    <w:r>
      <w:rPr>
        <w:sz w:val="16"/>
        <w:szCs w:val="16"/>
      </w:rPr>
      <w:fldChar w:fldCharType="begin"/>
    </w:r>
    <w:r>
      <w:rPr>
        <w:sz w:val="16"/>
        <w:szCs w:val="16"/>
      </w:rPr>
      <w:instrText xml:space="preserve"> FILENAME </w:instrText>
    </w:r>
    <w:r>
      <w:rPr>
        <w:sz w:val="16"/>
        <w:szCs w:val="16"/>
      </w:rPr>
      <w:fldChar w:fldCharType="separate"/>
    </w:r>
    <w:r>
      <w:rPr>
        <w:sz w:val="16"/>
        <w:szCs w:val="16"/>
      </w:rPr>
      <w:t>letter-f36ffb3cf22a8c066a1767cdd7afa5ba515061785d1e3521b91a118991483afa.doc</w:t>
    </w:r>
    <w:r>
      <w:rPr>
        <w:sz w:val="16"/>
        <w:szCs w:val="16"/>
      </w:rPr>
      <w:fldChar w:fldCharType="end"/>
    </w:r>
    <w:r>
      <w:rPr>
        <w:sz w:val="16"/>
        <w:szCs w:val="16"/>
      </w:rPr>
      <w:t xml:space="preserve">  </w:t>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r>
      <w:rPr>
        <w:sz w:val="16"/>
        <w:szCs w:val="16"/>
      </w:rPr>
      <w:t xml:space="preserve">  -  </w:t>
    </w:r>
    <w:r>
      <w:rPr>
        <w:sz w:val="16"/>
        <w:szCs w:val="16"/>
      </w:rPr>
      <w:fldChar w:fldCharType="begin"/>
    </w:r>
    <w:r>
      <w:rPr>
        <w:sz w:val="16"/>
        <w:szCs w:val="16"/>
      </w:rPr>
      <w:instrText xml:space="preserve"> TIME \@"H:mm\ AM/PM" </w:instrText>
    </w:r>
    <w:r>
      <w:rPr>
        <w:sz w:val="16"/>
        <w:szCs w:val="16"/>
      </w:rPr>
      <w:fldChar w:fldCharType="separate"/>
    </w:r>
    <w:r>
      <w:rPr>
        <w:sz w:val="16"/>
        <w:szCs w:val="16"/>
      </w:rPr>
      <w:t>9:33 AM</w:t>
    </w:r>
    <w:r>
      <w:rPr>
        <w:sz w:val="16"/>
        <w:szCs w:val="16"/>
      </w:rPr>
      <w:fldChar w:fldCharType="end"/>
    </w:r>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4966" w:type="dxa"/>
      <w:jc w:val="start"/>
      <w:tblInd w:w="4635" w:type="dxa"/>
      <w:tblLayout w:type="fixed"/>
      <w:tblCellMar>
        <w:top w:w="0" w:type="dxa"/>
        <w:start w:w="108" w:type="dxa"/>
        <w:bottom w:w="0" w:type="dxa"/>
        <w:end w:w="108" w:type="dxa"/>
      </w:tblCellMar>
    </w:tblPr>
    <w:tblGrid>
      <w:gridCol w:w="2591"/>
      <w:gridCol w:w="935"/>
      <w:gridCol w:w="1440"/>
    </w:tblGrid>
    <w:tr>
      <w:trPr/>
      <w:tc>
        <w:tcPr>
          <w:tcW w:w="2591" w:type="dxa"/>
          <w:tcBorders/>
        </w:tcPr>
        <w:p>
          <w:pPr>
            <w:pStyle w:val="CSFBLocationTable"/>
            <w:rPr>
              <w:vanish/>
              <w:color w:val="FF0000"/>
            </w:rPr>
          </w:pPr>
          <w:r>
            <w:rPr>
              <w:vanish/>
              <w:color w:val="FF0000"/>
            </w:rPr>
            <w:t>Eleven Madison Avenue</w:t>
            <w:br/>
            <w:t>New York, NY  10010-3629</w:t>
          </w:r>
        </w:p>
      </w:tc>
      <w:tc>
        <w:tcPr>
          <w:tcW w:w="935" w:type="dxa"/>
          <w:tcBorders/>
        </w:tcPr>
        <w:p>
          <w:pPr>
            <w:pStyle w:val="CSFBLocationTable"/>
            <w:rPr>
              <w:vanish/>
              <w:color w:val="FF0000"/>
            </w:rPr>
          </w:pPr>
          <w:r>
            <w:rPr>
              <w:vanish/>
              <w:color w:val="FF0000"/>
            </w:rPr>
            <w:t>Telephone</w:t>
          </w:r>
        </w:p>
      </w:tc>
      <w:tc>
        <w:tcPr>
          <w:tcW w:w="1440" w:type="dxa"/>
          <w:tcBorders/>
        </w:tcPr>
        <w:p>
          <w:pPr>
            <w:pStyle w:val="CSFBLocationTable"/>
            <w:rPr>
              <w:vanish/>
              <w:color w:val="FF0000"/>
            </w:rPr>
          </w:pPr>
          <w:r>
            <w:rPr>
              <w:vanish/>
              <w:color w:val="FF0000"/>
            </w:rPr>
            <w:t>212 325 2000</w:t>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2"/>
      <w:szCs w:val="22"/>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eastAsia="Times New Roman" w:cs="Times New Roman"/>
      <w:i/>
      <w:iCs/>
      <w:sz w:val="24"/>
      <w:szCs w:val="24"/>
    </w:rPr>
  </w:style>
  <w:style w:type="paragraph" w:styleId="Heading2">
    <w:name w:val="heading 2"/>
    <w:basedOn w:val="Normal"/>
    <w:next w:val="Normal"/>
    <w:qFormat/>
    <w:pPr>
      <w:keepNext w:val="true"/>
      <w:numPr>
        <w:ilvl w:val="1"/>
        <w:numId w:val="1"/>
      </w:numPr>
      <w:outlineLvl w:val="1"/>
    </w:pPr>
    <w:rPr>
      <w:rFonts w:ascii="Times New Roman" w:hAnsi="Times New Roman" w:eastAsia="Times New Roman" w:cs="Times New Roman"/>
      <w:b/>
      <w:bCs/>
      <w:sz w:val="24"/>
      <w:szCs w:val="24"/>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outlineLvl w:val="3"/>
    </w:pPr>
    <w:rPr>
      <w:i/>
      <w:iCs/>
      <w:u w:val="single"/>
    </w:rPr>
  </w:style>
  <w:style w:type="paragraph" w:styleId="Heading5">
    <w:name w:val="heading 5"/>
    <w:basedOn w:val="Normal"/>
    <w:next w:val="Normal"/>
    <w:qFormat/>
    <w:pPr>
      <w:keepNext w:val="true"/>
      <w:numPr>
        <w:ilvl w:val="4"/>
        <w:numId w:val="1"/>
      </w:numPr>
      <w:jc w:val="center"/>
      <w:outlineLvl w:val="4"/>
    </w:pPr>
    <w:rPr>
      <w:b/>
      <w:bCs/>
      <w:color w:val="FFFFFF"/>
      <w:sz w:val="18"/>
      <w:szCs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SFBClosingText">
    <w:name w:val="CSFB ClosingText"/>
    <w:basedOn w:val="Normal"/>
    <w:qFormat/>
    <w:pPr>
      <w:spacing w:before="220" w:after="220"/>
    </w:pPr>
    <w:rPr/>
  </w:style>
  <w:style w:type="paragraph" w:styleId="CSFBTagLine">
    <w:name w:val="CSFB TagLine"/>
    <w:basedOn w:val="Normal"/>
    <w:next w:val="Normal"/>
    <w:qFormat/>
    <w:pPr/>
    <w:rPr>
      <w:sz w:val="13"/>
      <w:szCs w:val="13"/>
    </w:rPr>
  </w:style>
  <w:style w:type="paragraph" w:styleId="CSFBDate">
    <w:name w:val="CSFB Date"/>
    <w:basedOn w:val="Normal"/>
    <w:qFormat/>
    <w:pPr>
      <w:spacing w:before="0" w:after="220"/>
    </w:pPr>
    <w:rPr/>
  </w:style>
  <w:style w:type="paragraph" w:styleId="CSFBLocationTable">
    <w:name w:val="CSFB LocationTable"/>
    <w:basedOn w:val="Normal"/>
    <w:qFormat/>
    <w:pPr/>
    <w:rPr>
      <w:sz w:val="17"/>
      <w:szCs w:val="17"/>
    </w:rPr>
  </w:style>
  <w:style w:type="paragraph" w:styleId="CSFBPageNumber">
    <w:name w:val="CSFB PageNumber"/>
    <w:basedOn w:val="Normal"/>
    <w:qFormat/>
    <w:pPr>
      <w:spacing w:before="200" w:after="0"/>
      <w:jc w:val="end"/>
    </w:pPr>
    <w:rPr/>
  </w:style>
  <w:style w:type="paragraph" w:styleId="CSFBPara">
    <w:name w:val="CSFB Para"/>
    <w:basedOn w:val="Normal"/>
    <w:qFormat/>
    <w:pPr>
      <w:spacing w:before="0" w:after="220"/>
    </w:pPr>
    <w:rPr/>
  </w:style>
  <w:style w:type="paragraph" w:styleId="CSFBRecipientAddress">
    <w:name w:val="CSFB Recipient Address"/>
    <w:basedOn w:val="Normal"/>
    <w:qFormat/>
    <w:pPr>
      <w:spacing w:before="0" w:after="220"/>
    </w:pPr>
    <w:rPr/>
  </w:style>
  <w:style w:type="paragraph" w:styleId="CSFBPostClosing">
    <w:name w:val="CSFB PostClosing"/>
    <w:basedOn w:val="CSFBRecipientAddress"/>
    <w:qFormat/>
    <w:pPr>
      <w:spacing w:before="0" w:after="0"/>
    </w:pPr>
    <w:rPr>
      <w:caps/>
    </w:rPr>
  </w:style>
  <w:style w:type="paragraph" w:styleId="CSFBSenderEmail">
    <w:name w:val="CSFB SenderEmail"/>
    <w:basedOn w:val="Normal"/>
    <w:qFormat/>
    <w:pPr/>
    <w:rPr>
      <w:sz w:val="20"/>
      <w:szCs w:val="20"/>
    </w:rPr>
  </w:style>
  <w:style w:type="paragraph" w:styleId="CSFBSenderInfo">
    <w:name w:val="CSFB SenderInfo"/>
    <w:basedOn w:val="Normal"/>
    <w:qFormat/>
    <w:pPr>
      <w:spacing w:before="0" w:after="440"/>
    </w:pPr>
    <w:rPr/>
  </w:style>
  <w:style w:type="paragraph" w:styleId="CSFBSenderPhone">
    <w:name w:val="CSFB SenderPhone"/>
    <w:basedOn w:val="Normal"/>
    <w:qFormat/>
    <w:pPr/>
    <w:rPr/>
  </w:style>
  <w:style w:type="paragraph" w:styleId="CSFBSignature">
    <w:name w:val="CSFB Signature"/>
    <w:basedOn w:val="Normal"/>
    <w:qFormat/>
    <w:pPr/>
    <w:rPr/>
  </w:style>
  <w:style w:type="paragraph" w:styleId="CSFBSubject">
    <w:name w:val="CSFB Subject"/>
    <w:basedOn w:val="Normal"/>
    <w:qFormat/>
    <w:pPr>
      <w:spacing w:before="0" w:after="220"/>
    </w:pPr>
    <w:rPr>
      <w:b/>
      <w:bCs/>
    </w:rPr>
  </w:style>
  <w:style w:type="paragraph" w:styleId="Tfl1">
    <w:name w:val="Tf:l:1"/>
    <w:basedOn w:val="Normal"/>
    <w:qFormat/>
    <w:pPr>
      <w:spacing w:before="20" w:after="0"/>
      <w:ind w:hanging="288" w:start="1728" w:end="1440"/>
    </w:pPr>
    <w:rPr>
      <w:sz w:val="16"/>
      <w:szCs w:val="16"/>
    </w:rPr>
  </w:style>
  <w:style w:type="paragraph" w:styleId="Tfm0">
    <w:name w:val="Tf:m:0"/>
    <w:basedOn w:val="Normal"/>
    <w:qFormat/>
    <w:pPr>
      <w:spacing w:before="20" w:after="0"/>
      <w:ind w:hanging="288" w:start="1728" w:end="0"/>
    </w:pPr>
    <w:rPr>
      <w:sz w:val="16"/>
      <w:szCs w:val="16"/>
    </w:rPr>
  </w:style>
  <w:style w:type="paragraph" w:styleId="Tnl1">
    <w:name w:val="Tn:l:1"/>
    <w:basedOn w:val="Normal"/>
    <w:qFormat/>
    <w:pPr>
      <w:spacing w:before="20" w:after="0"/>
      <w:ind w:hanging="720" w:start="2160" w:end="1440"/>
    </w:pPr>
    <w:rPr>
      <w:sz w:val="16"/>
      <w:szCs w:val="16"/>
    </w:rPr>
  </w:style>
  <w:style w:type="paragraph" w:styleId="Tnm0">
    <w:name w:val="Tn:m:0"/>
    <w:basedOn w:val="Normal"/>
    <w:qFormat/>
    <w:pPr>
      <w:spacing w:before="20" w:after="0"/>
      <w:ind w:hanging="720" w:start="2160" w:end="0"/>
    </w:pPr>
    <w:rPr>
      <w:sz w:val="16"/>
      <w:szCs w:val="16"/>
    </w:rPr>
  </w:style>
  <w:style w:type="paragraph" w:styleId="Tsl1">
    <w:name w:val="Ts:l:1"/>
    <w:basedOn w:val="Normal"/>
    <w:qFormat/>
    <w:pPr>
      <w:spacing w:before="0" w:after="120"/>
      <w:ind w:hanging="0" w:start="1440" w:end="1440"/>
    </w:pPr>
    <w:rPr>
      <w:b/>
      <w:bCs/>
      <w:sz w:val="24"/>
      <w:szCs w:val="24"/>
    </w:rPr>
  </w:style>
  <w:style w:type="paragraph" w:styleId="Tsm0">
    <w:name w:val="Ts:m:0"/>
    <w:basedOn w:val="Normal"/>
    <w:qFormat/>
    <w:pPr>
      <w:spacing w:before="0" w:after="120"/>
      <w:ind w:hanging="0" w:start="1440" w:end="0"/>
    </w:pPr>
    <w:rPr>
      <w:b/>
      <w:bCs/>
      <w:sz w:val="24"/>
      <w:szCs w:val="24"/>
    </w:rPr>
  </w:style>
  <w:style w:type="paragraph" w:styleId="Ttl1">
    <w:name w:val="Tt:l:1"/>
    <w:basedOn w:val="Normal"/>
    <w:qFormat/>
    <w:pPr>
      <w:spacing w:before="240" w:after="0"/>
      <w:ind w:hanging="0" w:start="1440" w:end="1440"/>
    </w:pPr>
    <w:rPr>
      <w:b/>
      <w:bCs/>
      <w:sz w:val="28"/>
      <w:szCs w:val="28"/>
    </w:rPr>
  </w:style>
  <w:style w:type="paragraph" w:styleId="Ttm0">
    <w:name w:val="Tt:m:0"/>
    <w:basedOn w:val="Normal"/>
    <w:qFormat/>
    <w:pPr>
      <w:spacing w:before="240" w:after="0"/>
      <w:ind w:hanging="0" w:start="1440" w:end="0"/>
    </w:pPr>
    <w:rPr>
      <w:b/>
      <w:bCs/>
      <w:sz w:val="28"/>
      <w:szCs w:val="28"/>
    </w:rPr>
  </w:style>
  <w:style w:type="paragraph" w:styleId="Tul1">
    <w:name w:val="Tu:l:1"/>
    <w:basedOn w:val="Normal"/>
    <w:qFormat/>
    <w:pPr>
      <w:spacing w:before="0" w:after="20"/>
      <w:ind w:hanging="0" w:start="1440" w:end="1440"/>
    </w:pPr>
    <w:rPr>
      <w:b/>
      <w:bCs/>
      <w:i/>
      <w:iCs/>
      <w:sz w:val="24"/>
      <w:szCs w:val="24"/>
    </w:rPr>
  </w:style>
  <w:style w:type="paragraph" w:styleId="Tum0">
    <w:name w:val="Tu:m:0"/>
    <w:basedOn w:val="Normal"/>
    <w:qFormat/>
    <w:pPr>
      <w:spacing w:before="0" w:after="20"/>
      <w:ind w:hanging="0" w:start="1440" w:end="0"/>
    </w:pPr>
    <w:rPr>
      <w:b/>
      <w:bCs/>
      <w:i/>
      <w:iCs/>
      <w:sz w:val="24"/>
      <w:szCs w:val="24"/>
    </w:rPr>
  </w:style>
  <w:style w:type="paragraph" w:styleId="TableHeadings">
    <w:name w:val="Table Headings"/>
    <w:basedOn w:val="Normal"/>
    <w:qFormat/>
    <w:pPr>
      <w:spacing w:before="36" w:after="36"/>
      <w:jc w:val="center"/>
    </w:pPr>
    <w:rPr>
      <w:caps/>
      <w:sz w:val="16"/>
      <w:szCs w:val="16"/>
    </w:rPr>
  </w:style>
  <w:style w:type="paragraph" w:styleId="FootnoteText">
    <w:name w:val="footnote text"/>
    <w:basedOn w:val="Normal"/>
    <w:pPr/>
    <w:rPr>
      <w:sz w:val="20"/>
      <w:szCs w:val="20"/>
    </w:rPr>
  </w:style>
  <w:style w:type="paragraph" w:styleId="TableText">
    <w:name w:val="Table Text"/>
    <w:basedOn w:val="Normal"/>
    <w:qFormat/>
    <w:pPr>
      <w:spacing w:before="36" w:after="36"/>
    </w:pPr>
    <w:rPr>
      <w:sz w:val="20"/>
      <w:szCs w:val="20"/>
    </w:rPr>
  </w:style>
  <w:style w:type="paragraph" w:styleId="Ttl0">
    <w:name w:val="Tt:l:0"/>
    <w:basedOn w:val="Normal"/>
    <w:qFormat/>
    <w:pPr>
      <w:spacing w:before="240" w:after="0"/>
    </w:pPr>
    <w:rPr>
      <w:b/>
      <w:bCs/>
      <w:sz w:val="28"/>
      <w:szCs w:val="28"/>
    </w:rPr>
  </w:style>
  <w:style w:type="paragraph" w:styleId="Tsl0">
    <w:name w:val="Ts:l:0"/>
    <w:basedOn w:val="Normal"/>
    <w:qFormat/>
    <w:pPr>
      <w:spacing w:before="0" w:after="120"/>
    </w:pPr>
    <w:rPr>
      <w:b/>
      <w:bCs/>
      <w:sz w:val="24"/>
      <w:szCs w:val="24"/>
    </w:rPr>
  </w:style>
  <w:style w:type="paragraph" w:styleId="Tul0">
    <w:name w:val="Tu:l:0"/>
    <w:basedOn w:val="Normal"/>
    <w:qFormat/>
    <w:pPr>
      <w:spacing w:before="0" w:after="20"/>
    </w:pPr>
    <w:rPr>
      <w:b/>
      <w:bCs/>
      <w:i/>
      <w:iCs/>
      <w:sz w:val="24"/>
      <w:szCs w:val="24"/>
    </w:rPr>
  </w:style>
  <w:style w:type="paragraph" w:styleId="Tfl0">
    <w:name w:val="Tf:l:0"/>
    <w:basedOn w:val="Normal"/>
    <w:qFormat/>
    <w:pPr>
      <w:spacing w:before="20" w:after="0"/>
      <w:ind w:hanging="288" w:start="288" w:end="0"/>
    </w:pPr>
    <w:rPr>
      <w:sz w:val="16"/>
      <w:szCs w:val="16"/>
    </w:rPr>
  </w:style>
  <w:style w:type="paragraph" w:styleId="Tnl0">
    <w:name w:val="Tn:l:0"/>
    <w:basedOn w:val="Normal"/>
    <w:qFormat/>
    <w:pPr>
      <w:spacing w:before="20" w:after="0"/>
      <w:ind w:hanging="720" w:start="720" w:end="0"/>
    </w:pPr>
    <w:rPr>
      <w:i/>
      <w:iCs/>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2000-10-03T22:18:00Z</dcterms:created>
  <dc:creator>rmodi</dc:creator>
  <dc:description>version: 1.0.1a
date: 6/13/2000</dc:description>
  <dc:language>en-CA</dc:language>
  <cp:lastModifiedBy>rmodi</cp:lastModifiedBy>
  <cp:lastPrinted>2000-10-03T20:20:00Z</cp:lastPrinted>
  <dcterms:modified xsi:type="dcterms:W3CDTF">2000-10-03T22:18:00Z</dcterms:modified>
  <cp:revision>2</cp:revision>
  <dc:subject/>
  <dc:title>Letter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Stamp">
    <vt:bool>1</vt:bool>
  </property>
  <property fmtid="{D5CDD505-2E9C-101B-9397-08002B2CF9AE}" pid="3" name="FilenameStamp">
    <vt:bool>1</vt:bool>
  </property>
  <property fmtid="{D5CDD505-2E9C-101B-9397-08002B2CF9AE}" pid="4" name="TimeStamp">
    <vt:bool>1</vt:bool>
  </property>
</Properties>
</file>