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r>
    </w:p>
    <w:p>
      <w:pPr>
        <w:pStyle w:val="Normal"/>
        <w:rPr/>
      </w:pPr>
      <w:r>
        <w:rPr/>
        <w:t>Commissioner Brett A. Perlman</w:t>
      </w:r>
    </w:p>
    <w:p>
      <w:pPr>
        <w:pStyle w:val="Normal"/>
        <w:rPr/>
      </w:pPr>
      <w:r>
        <w:rPr/>
        <w:t>Public Utility Commission of Texas</w:t>
      </w:r>
    </w:p>
    <w:p>
      <w:pPr>
        <w:pStyle w:val="Normal"/>
        <w:rPr/>
      </w:pPr>
      <w:r>
        <w:rPr/>
      </w:r>
    </w:p>
    <w:p>
      <w:pPr>
        <w:pStyle w:val="Normal"/>
        <w:rPr/>
      </w:pPr>
      <w:r>
        <w:rPr/>
      </w:r>
    </w:p>
    <w:p>
      <w:pPr>
        <w:pStyle w:val="Normal"/>
        <w:rPr/>
      </w:pPr>
      <w:r>
        <w:rPr/>
        <w:t>We would like to thank you for the opportunity to provide a testimony regarding the delay in “customer choice” in portions of Texas located within the Southwest Power Pool (SPP), as part of Docket No 24468.</w:t>
      </w:r>
    </w:p>
    <w:p>
      <w:pPr>
        <w:pStyle w:val="Normal"/>
        <w:rPr/>
      </w:pPr>
      <w:r>
        <w:rPr/>
      </w:r>
    </w:p>
    <w:p>
      <w:pPr>
        <w:pStyle w:val="Normal"/>
        <w:rPr/>
      </w:pPr>
      <w:r>
        <w:rPr/>
        <w:t>We would also to express our support to your concurring statement regarding this matter, issued on October 22, clearly clarifying that the decision made by the Commission should not be interpreted as a decision to delay competition per se, but rather a decision to create the proper conditions in order to have a functioning wholesale marked.</w:t>
      </w:r>
    </w:p>
    <w:p>
      <w:pPr>
        <w:pStyle w:val="Normal"/>
        <w:rPr/>
      </w:pPr>
      <w:r>
        <w:rPr/>
      </w:r>
    </w:p>
    <w:p>
      <w:pPr>
        <w:pStyle w:val="Normal"/>
        <w:rPr/>
      </w:pPr>
      <w:r>
        <w:rPr/>
      </w:r>
    </w:p>
    <w:p>
      <w:pPr>
        <w:pStyle w:val="Normal"/>
        <w:rPr/>
      </w:pPr>
      <w:r>
        <w:rPr/>
        <w:t xml:space="preserve">We understand the Commission continued commitment to provide retail competition to all regions in the State of Texas.  In this regard, we support Commission decision to initiate the Southwest Power Pool Market Readiness Implementation Project, Project No 24469. </w:t>
      </w:r>
    </w:p>
    <w:p>
      <w:pPr>
        <w:pStyle w:val="Normal"/>
        <w:rPr/>
      </w:pPr>
      <w:r>
        <w:rPr/>
      </w:r>
    </w:p>
    <w:p>
      <w:pPr>
        <w:pStyle w:val="Normal"/>
        <w:rPr/>
      </w:pPr>
      <w:r>
        <w:rPr/>
        <w:tab/>
        <w:t xml:space="preserve">Our understanding is that this Project will be able to address some of issues raised during the proceedings related to the alleged “lack of competitiveness” in the non-ERCOT areas of Texas. As we had chance to express in our written testimony on October 15, we believe that there is sufficient competition in those areas (SPP and SERC) to support retail competition. Enron, who does not own any transmission assets in those areas has actively traded in those regions. This opportunity will be open to other REPs. </w:t>
      </w:r>
    </w:p>
    <w:p>
      <w:pPr>
        <w:pStyle w:val="Normal"/>
        <w:rPr/>
      </w:pPr>
      <w:r>
        <w:rPr/>
      </w:r>
    </w:p>
    <w:p>
      <w:pPr>
        <w:pStyle w:val="Normal"/>
        <w:rPr/>
      </w:pPr>
      <w:r>
        <w:rPr/>
        <w:tab/>
        <w:t xml:space="preserve">Needless to say, there is always a possibility to make those markets more effective and transparent. For example, Mr. Brown has, in his testimony, identified some key critical systems such as settlement and congestion management which need to be upgraded. There seems to be  an opportunity to further develop those systems with a substantial gain in terms of market transparency. </w:t>
      </w:r>
    </w:p>
    <w:p>
      <w:pPr>
        <w:pStyle w:val="Normal"/>
        <w:rPr/>
      </w:pPr>
      <w:r>
        <w:rPr/>
      </w:r>
    </w:p>
    <w:p>
      <w:pPr>
        <w:pStyle w:val="Normal"/>
        <w:ind w:firstLine="720" w:end="0"/>
        <w:rPr/>
      </w:pPr>
      <w:r>
        <w:rPr/>
        <w:t>As active participants in both regions, we think it is possible to develop, refine and test those systems in a reasonable timeframe, such as 6 months or less, particularly considering that it may be possible to use congestion and settlement systems already developed by adjoining power pools. We support the approach taken by the Commission to define the basic systems to allow retail competition, as opposed to waiting until a “full-fledged” implementation of the Regional Transmission Organization.</w:t>
      </w:r>
    </w:p>
    <w:p>
      <w:pPr>
        <w:pStyle w:val="Normal"/>
        <w:ind w:firstLine="720" w:end="0"/>
        <w:rPr/>
      </w:pPr>
      <w:r>
        <w:rPr/>
      </w:r>
    </w:p>
    <w:p>
      <w:pPr>
        <w:pStyle w:val="Normal"/>
        <w:ind w:firstLine="720" w:end="0"/>
        <w:rPr/>
      </w:pPr>
      <w:r>
        <w:rPr/>
        <w:t>We look forward to supporting the Commission in the Southwest Power Pool Market Readiness Implementation Project.</w:t>
      </w:r>
    </w:p>
    <w:p>
      <w:pPr>
        <w:pStyle w:val="Normal"/>
        <w:ind w:firstLine="720" w:end="0"/>
        <w:rPr/>
      </w:pPr>
      <w:r>
        <w:rPr/>
      </w:r>
    </w:p>
    <w:p>
      <w:pPr>
        <w:pStyle w:val="Normal"/>
        <w:ind w:firstLine="720" w:end="0"/>
        <w:rPr/>
      </w:pPr>
      <w:r>
        <w:rPr/>
        <w:tab/>
        <w:tab/>
        <w:tab/>
        <w:tab/>
        <w:tab/>
        <w:tab/>
        <w:t>Very Truly Yours,</w:t>
      </w:r>
    </w:p>
    <w:p>
      <w:pPr>
        <w:pStyle w:val="Normal"/>
        <w:ind w:firstLine="720" w:end="0"/>
        <w:rPr/>
      </w:pPr>
      <w:r>
        <w:rPr/>
        <w:tab/>
      </w:r>
    </w:p>
    <w:p>
      <w:pPr>
        <w:pStyle w:val="Normal"/>
        <w:ind w:firstLine="720" w:end="0"/>
        <w:rPr/>
      </w:pPr>
      <w:r>
        <w:rPr/>
        <w:tab/>
        <w:tab/>
        <w:tab/>
        <w:tab/>
        <w:tab/>
        <w:tab/>
        <w:t>Jim Steffes</w:t>
      </w:r>
    </w:p>
    <w:p>
      <w:pPr>
        <w:pStyle w:val="Normal"/>
        <w:ind w:firstLine="72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2001-10-29T15:41:00Z</dcterms:created>
  <dc:creator>lmaurer</dc:creator>
  <dc:description/>
  <dc:language>en-CA</dc:language>
  <cp:lastModifiedBy>lmaurer</cp:lastModifiedBy>
  <dcterms:modified xsi:type="dcterms:W3CDTF">2001-10-29T16:24:00Z</dcterms:modified>
  <cp:revision>2</cp:revision>
  <dc:subject/>
  <dc:title>To</dc:title>
</cp:coreProperties>
</file>