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Black" w:hAnsi="Arial Black" w:cs="Arial"/>
        </w:rPr>
      </w:pPr>
      <w:r>
        <w:rPr>
          <w:rFonts w:cs="Arial" w:ascii="Arial Black" w:hAnsi="Arial Black"/>
        </w:rPr>
      </w:r>
    </w:p>
    <w:p>
      <w:pPr>
        <w:pStyle w:val="Normal"/>
        <w:jc w:val="center"/>
        <w:rPr>
          <w:rFonts w:ascii="Arial Black" w:hAnsi="Arial Black" w:cs="Arial"/>
        </w:rPr>
      </w:pPr>
      <w:r>
        <w:rPr>
          <w:rFonts w:cs="Arial" w:ascii="Arial Black" w:hAnsi="Arial Black"/>
        </w:rPr>
        <w:t>Technology Plan</w:t>
      </w:r>
    </w:p>
    <w:p>
      <w:pPr>
        <w:pStyle w:val="Normal"/>
        <w:jc w:val="center"/>
        <w:rPr>
          <w:rFonts w:ascii="Arial Black" w:hAnsi="Arial Black" w:cs="Arial"/>
        </w:rPr>
      </w:pPr>
      <w:r>
        <w:rPr>
          <w:rFonts w:cs="Arial" w:ascii="Arial Black" w:hAnsi="Arial Black"/>
        </w:rPr>
        <w:t>Enron North America Legal Department</w:t>
      </w:r>
    </w:p>
    <w:p>
      <w:pPr>
        <w:pStyle w:val="Normal"/>
        <w:jc w:val="center"/>
        <w:rPr>
          <w:rFonts w:ascii="Arial Black" w:hAnsi="Arial Black" w:cs="Arial"/>
          <w:b/>
          <w:bCs/>
          <w:sz w:val="22"/>
        </w:rPr>
      </w:pPr>
      <w:r>
        <w:rPr>
          <w:rFonts w:cs="Arial" w:ascii="Arial Black" w:hAnsi="Arial Black"/>
        </w:rPr>
        <w:t>September 2000</w:t>
      </w:r>
    </w:p>
    <w:p>
      <w:pPr>
        <w:pStyle w:val="Header"/>
        <w:tabs>
          <w:tab w:val="clear" w:pos="4320"/>
          <w:tab w:val="clear" w:pos="8640"/>
        </w:tabs>
        <w:rPr>
          <w:rFonts w:ascii="Arial Black" w:hAnsi="Arial Black" w:cs="Arial"/>
          <w:b/>
          <w:bCs/>
          <w:sz w:val="22"/>
        </w:rPr>
      </w:pPr>
      <w:r>
        <w:rPr>
          <w:rFonts w:cs="Arial" w:ascii="Arial Black" w:hAnsi="Arial Black"/>
          <w:b/>
          <w:bCs/>
          <w:sz w:val="22"/>
        </w:rPr>
      </w:r>
    </w:p>
    <w:p>
      <w:pPr>
        <w:pStyle w:val="Normal"/>
        <w:rPr>
          <w:sz w:val="22"/>
        </w:rPr>
      </w:pPr>
      <w:r>
        <w:rPr>
          <w:sz w:val="22"/>
        </w:rPr>
      </w:r>
    </w:p>
    <w:p>
      <w:pPr>
        <w:pStyle w:val="Normal"/>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This Technology Plan outlines the goals of the Enron North America Legal Department relating to the incorporation of technology into every day legal functions.  While advancing these goals, the Department’s testing of technology alternatives is hoped to provide a springboard for implementation of similar alternatives by other groups within the company.</w:t>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The overall goal of the plan is to ensure the client continues to view the members of the Department as essential members of the business team.  To accomplish this, the plan focuses on the following general areas:</w:t>
      </w:r>
    </w:p>
    <w:p>
      <w:pPr>
        <w:pStyle w:val="Normal"/>
        <w:ind w:firstLine="720" w:end="0"/>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u w:val="single"/>
        </w:rPr>
        <w:t>Promotion of the Legal Department</w:t>
      </w:r>
      <w:r>
        <w:rPr>
          <w:rFonts w:cs="Arial" w:ascii="Arial" w:hAnsi="Arial"/>
          <w:sz w:val="22"/>
        </w:rPr>
        <w:t xml:space="preserve"> - Promoting the Legal Department as an efficient means of assisting clients in achieving their business objectives.</w:t>
      </w:r>
    </w:p>
    <w:p>
      <w:pPr>
        <w:pStyle w:val="Normal"/>
        <w:ind w:start="720" w:end="0"/>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u w:val="single"/>
        </w:rPr>
        <w:t>Technology Education</w:t>
      </w:r>
      <w:r>
        <w:rPr>
          <w:rFonts w:cs="Arial" w:ascii="Arial" w:hAnsi="Arial"/>
          <w:sz w:val="22"/>
        </w:rPr>
        <w:t xml:space="preserve"> - Using technology to provide educational opportunities to clients and Department members, as well as enhancing technology use through awareness education.</w:t>
      </w:r>
    </w:p>
    <w:p>
      <w:pPr>
        <w:pStyle w:val="Normal"/>
        <w:ind w:start="720" w:end="0"/>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u w:val="single"/>
        </w:rPr>
        <w:t xml:space="preserve">Intra-Department Technology Use </w:t>
      </w:r>
      <w:r>
        <w:rPr>
          <w:rFonts w:cs="Arial" w:ascii="Arial" w:hAnsi="Arial"/>
          <w:sz w:val="22"/>
        </w:rPr>
        <w:t>- Improving overall Department performance through effective intra-Department use of available technology tools.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Though each facet of the plan can be achieved independently, together they form a roadmap to reaching the Department’s overall goal and ensuring the Department remains on the cutting edge of technology use.</w:t>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Each area of the plan is more fully discussed below.</w:t>
      </w:r>
    </w:p>
    <w:p>
      <w:pPr>
        <w:pStyle w:val="Normal"/>
        <w:ind w:firstLine="720" w:end="0"/>
        <w:jc w:val="both"/>
        <w:rPr>
          <w:rFonts w:ascii="Arial" w:hAnsi="Arial" w:eastAsia="Arial" w:cs="Arial"/>
          <w:sz w:val="22"/>
        </w:rPr>
      </w:pPr>
      <w:r>
        <w:rPr>
          <w:rFonts w:eastAsia="Arial" w:cs="Arial" w:ascii="Arial" w:hAnsi="Arial"/>
          <w:sz w:val="22"/>
        </w:rPr>
        <w:t xml:space="preserve"> </w:t>
      </w:r>
    </w:p>
    <w:p>
      <w:pPr>
        <w:pStyle w:val="Normal"/>
        <w:jc w:val="both"/>
        <w:rPr>
          <w:rFonts w:ascii="Arial" w:hAnsi="Arial" w:cs="Arial"/>
          <w:sz w:val="22"/>
        </w:rPr>
      </w:pPr>
      <w:r>
        <w:rPr>
          <w:rFonts w:cs="Arial" w:ascii="Arial" w:hAnsi="Arial"/>
          <w:sz w:val="22"/>
        </w:rPr>
      </w:r>
    </w:p>
    <w:p>
      <w:pPr>
        <w:pStyle w:val="Heading1"/>
        <w:ind w:hanging="0" w:start="0"/>
        <w:rPr/>
      </w:pPr>
      <w:r>
        <w:rPr/>
        <w:t>A.  Promotion of the Legal Department</w:t>
      </w:r>
    </w:p>
    <w:p>
      <w:pPr>
        <w:pStyle w:val="Normal"/>
        <w:jc w:val="both"/>
        <w:rPr>
          <w:rFonts w:ascii="Arial" w:hAnsi="Arial" w:cs="Arial"/>
          <w:sz w:val="22"/>
        </w:rPr>
      </w:pPr>
      <w:r>
        <w:rPr>
          <w:rFonts w:cs="Arial" w:ascii="Arial" w:hAnsi="Arial"/>
          <w:sz w:val="22"/>
        </w:rPr>
      </w:r>
    </w:p>
    <w:p>
      <w:pPr>
        <w:pStyle w:val="BodyTextIndent2"/>
        <w:rPr>
          <w:rFonts w:ascii="Arial" w:hAnsi="Arial" w:cs="Arial"/>
        </w:rPr>
      </w:pPr>
      <w:r>
        <w:rPr>
          <w:rFonts w:cs="Arial" w:ascii="Arial" w:hAnsi="Arial"/>
        </w:rPr>
        <w:t>The initial phase of the plan focuses on the goal of promoting the Legal Department as an efficient means of assisting clients in achieving their business objectives.  Essential elements of this phase include:</w:t>
      </w:r>
    </w:p>
    <w:p>
      <w:pPr>
        <w:pStyle w:val="BodyTextIndent2"/>
        <w:rPr>
          <w:rFonts w:ascii="Arial" w:hAnsi="Arial" w:cs="Arial"/>
        </w:rPr>
      </w:pPr>
      <w:r>
        <w:rPr>
          <w:rFonts w:cs="Arial" w:ascii="Arial" w:hAnsi="Arial"/>
        </w:rPr>
      </w:r>
    </w:p>
    <w:p>
      <w:pPr>
        <w:pStyle w:val="BodyTextIndent2"/>
        <w:numPr>
          <w:ilvl w:val="0"/>
          <w:numId w:val="8"/>
        </w:numPr>
        <w:rPr>
          <w:rFonts w:ascii="Arial" w:hAnsi="Arial" w:cs="Arial"/>
        </w:rPr>
      </w:pPr>
      <w:r>
        <w:rPr>
          <w:rFonts w:cs="Arial" w:ascii="Arial" w:hAnsi="Arial"/>
        </w:rPr>
        <w:t>Prompt and efficient interface with outside/third party sources – including outside counsel and counter-parties.</w:t>
      </w:r>
    </w:p>
    <w:p>
      <w:pPr>
        <w:pStyle w:val="BodyTextIndent2"/>
        <w:numPr>
          <w:ilvl w:val="0"/>
          <w:numId w:val="8"/>
        </w:numPr>
        <w:rPr>
          <w:rFonts w:ascii="Arial" w:hAnsi="Arial" w:cs="Arial"/>
        </w:rPr>
      </w:pPr>
      <w:r>
        <w:rPr>
          <w:rFonts w:cs="Arial" w:ascii="Arial" w:hAnsi="Arial"/>
        </w:rPr>
        <w:t>Ability to effectively communicate ideas and points - generally through electronic means.</w:t>
      </w:r>
    </w:p>
    <w:p>
      <w:pPr>
        <w:pStyle w:val="BodyTextIndent2"/>
        <w:numPr>
          <w:ilvl w:val="0"/>
          <w:numId w:val="8"/>
        </w:numPr>
        <w:rPr>
          <w:rFonts w:ascii="Arial" w:hAnsi="Arial" w:cs="Arial"/>
        </w:rPr>
      </w:pPr>
      <w:r>
        <w:rPr>
          <w:rFonts w:cs="Arial" w:ascii="Arial" w:hAnsi="Arial"/>
        </w:rPr>
        <w:t>Ability to finalize negotiated transactions – including documentation - in a secure environment.</w:t>
      </w:r>
    </w:p>
    <w:p>
      <w:pPr>
        <w:pStyle w:val="BodyTextIndent2"/>
        <w:numPr>
          <w:ilvl w:val="0"/>
          <w:numId w:val="8"/>
        </w:numPr>
        <w:rPr>
          <w:rFonts w:ascii="Arial" w:hAnsi="Arial" w:cs="Arial"/>
        </w:rPr>
      </w:pPr>
      <w:r>
        <w:rPr>
          <w:rFonts w:cs="Arial" w:ascii="Arial" w:hAnsi="Arial"/>
        </w:rPr>
        <w:t>Ability to ensure the integrity of any system used for the foregoing purposes.</w:t>
      </w:r>
    </w:p>
    <w:p>
      <w:pPr>
        <w:pStyle w:val="BodyTextIndent2"/>
        <w:numPr>
          <w:ilvl w:val="0"/>
          <w:numId w:val="8"/>
        </w:numPr>
        <w:rPr>
          <w:rFonts w:ascii="Arial" w:hAnsi="Arial" w:cs="Arial"/>
        </w:rPr>
      </w:pPr>
      <w:r>
        <w:rPr>
          <w:rFonts w:cs="Arial" w:ascii="Arial" w:hAnsi="Arial"/>
        </w:rPr>
        <w:t>Possible use of Enron internally developed systems (somewhat dependent upon counter-party acceptance).</w:t>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t>Technology tools to be reviewed for implementation would include:</w:t>
      </w:r>
    </w:p>
    <w:p>
      <w:pPr>
        <w:pStyle w:val="Normal"/>
        <w:ind w:firstLine="360" w:end="0"/>
        <w:jc w:val="both"/>
        <w:rPr>
          <w:rFonts w:ascii="Arial" w:hAnsi="Arial" w:cs="Arial"/>
          <w:sz w:val="22"/>
        </w:rPr>
      </w:pPr>
      <w:r>
        <w:rPr>
          <w:rFonts w:cs="Arial" w:ascii="Arial" w:hAnsi="Arial"/>
          <w:sz w:val="22"/>
        </w:rPr>
      </w:r>
    </w:p>
    <w:p>
      <w:pPr>
        <w:pStyle w:val="Normal"/>
        <w:numPr>
          <w:ilvl w:val="0"/>
          <w:numId w:val="6"/>
        </w:numPr>
        <w:jc w:val="both"/>
        <w:rPr>
          <w:rFonts w:ascii="Arial" w:hAnsi="Arial" w:cs="Arial"/>
          <w:sz w:val="22"/>
        </w:rPr>
      </w:pPr>
      <w:r>
        <w:rPr>
          <w:rFonts w:cs="Arial" w:ascii="Arial" w:hAnsi="Arial"/>
          <w:sz w:val="22"/>
        </w:rPr>
        <w:t>An internet based document collaboration tool – such as Deal Bench, FreeDesk or LiveLink</w:t>
      </w:r>
    </w:p>
    <w:p>
      <w:pPr>
        <w:pStyle w:val="Normal"/>
        <w:numPr>
          <w:ilvl w:val="0"/>
          <w:numId w:val="6"/>
        </w:numPr>
        <w:jc w:val="both"/>
        <w:rPr>
          <w:rFonts w:ascii="Arial" w:hAnsi="Arial" w:cs="Arial"/>
          <w:sz w:val="22"/>
        </w:rPr>
      </w:pPr>
      <w:r>
        <w:rPr>
          <w:rFonts w:cs="Arial" w:ascii="Arial" w:hAnsi="Arial"/>
          <w:sz w:val="22"/>
        </w:rPr>
        <w:t>An internet based electronic signature service – such as Alpha Trust or Veritrust</w:t>
      </w:r>
    </w:p>
    <w:p>
      <w:pPr>
        <w:pStyle w:val="Normal"/>
        <w:numPr>
          <w:ilvl w:val="0"/>
          <w:numId w:val="6"/>
        </w:numPr>
        <w:jc w:val="both"/>
        <w:rPr>
          <w:rFonts w:ascii="Arial" w:hAnsi="Arial" w:cs="Arial"/>
          <w:sz w:val="22"/>
        </w:rPr>
      </w:pPr>
      <w:r>
        <w:rPr>
          <w:rFonts w:cs="Arial" w:ascii="Arial" w:hAnsi="Arial"/>
          <w:sz w:val="22"/>
        </w:rPr>
        <w:t>Technology based storage systems allowing for client retrieval of draft and/or final documents</w:t>
      </w:r>
    </w:p>
    <w:p>
      <w:pPr>
        <w:pStyle w:val="Normal"/>
        <w:numPr>
          <w:ilvl w:val="0"/>
          <w:numId w:val="6"/>
        </w:numPr>
        <w:jc w:val="both"/>
        <w:rPr>
          <w:rFonts w:ascii="Arial" w:hAnsi="Arial" w:cs="Arial"/>
          <w:sz w:val="22"/>
        </w:rPr>
      </w:pPr>
      <w:r>
        <w:rPr>
          <w:rFonts w:cs="Arial" w:ascii="Arial" w:hAnsi="Arial"/>
          <w:sz w:val="22"/>
        </w:rPr>
        <w:t xml:space="preserve">Possible incorporation of software applications allowing for </w:t>
      </w:r>
      <w:r>
        <w:rPr>
          <w:rFonts w:cs="Arial" w:ascii="Arial" w:hAnsi="Arial"/>
          <w:sz w:val="22"/>
          <w:u w:val="single"/>
        </w:rPr>
        <w:t>both</w:t>
      </w:r>
      <w:r>
        <w:rPr>
          <w:rFonts w:cs="Arial" w:ascii="Arial" w:hAnsi="Arial"/>
          <w:sz w:val="22"/>
        </w:rPr>
        <w:t xml:space="preserve"> deal collaboration and electronic signatures – such as Adobe Acrobat Reader 4.0</w:t>
      </w:r>
    </w:p>
    <w:p>
      <w:pPr>
        <w:pStyle w:val="Normal"/>
        <w:numPr>
          <w:ilvl w:val="0"/>
          <w:numId w:val="6"/>
        </w:numPr>
        <w:jc w:val="both"/>
        <w:rPr>
          <w:rFonts w:ascii="Arial" w:hAnsi="Arial" w:cs="Arial"/>
          <w:sz w:val="22"/>
        </w:rPr>
      </w:pPr>
      <w:r>
        <w:rPr>
          <w:rFonts w:cs="Arial" w:ascii="Arial" w:hAnsi="Arial"/>
          <w:sz w:val="22"/>
        </w:rPr>
        <w:t>Possible use of other internet or intranet resources, including the development by Enron of an all encompassing intranet system.</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1"/>
        <w:ind w:hanging="0" w:start="0"/>
        <w:rPr/>
      </w:pPr>
      <w:r>
        <w:rPr/>
        <w:t>B.  Technology Education</w:t>
      </w:r>
    </w:p>
    <w:p>
      <w:pPr>
        <w:pStyle w:val="Normal"/>
        <w:jc w:val="both"/>
        <w:rPr>
          <w:rFonts w:ascii="Arial" w:hAnsi="Arial" w:cs="Arial"/>
          <w:sz w:val="22"/>
        </w:rPr>
      </w:pPr>
      <w:r>
        <w:rPr>
          <w:rFonts w:cs="Arial" w:ascii="Arial" w:hAnsi="Arial"/>
          <w:sz w:val="22"/>
        </w:rPr>
      </w:r>
    </w:p>
    <w:p>
      <w:pPr>
        <w:pStyle w:val="BodyTextIndent"/>
        <w:ind w:firstLine="360" w:end="0"/>
        <w:jc w:val="both"/>
        <w:rPr>
          <w:rFonts w:ascii="Arial" w:hAnsi="Arial" w:cs="Arial"/>
        </w:rPr>
      </w:pPr>
      <w:r>
        <w:rPr>
          <w:rFonts w:cs="Arial" w:ascii="Arial" w:hAnsi="Arial"/>
        </w:rPr>
        <w:t>The second phase of the plan focuses on the goal of using technology to provide educational opportunities to clients and Department members, as well as enhancing technology use through awareness education.  Essential elements of this phase include:</w:t>
      </w:r>
    </w:p>
    <w:p>
      <w:pPr>
        <w:pStyle w:val="BodyTextIndent"/>
        <w:ind w:firstLine="360" w:end="0"/>
        <w:jc w:val="both"/>
        <w:rPr>
          <w:rFonts w:ascii="Arial" w:hAnsi="Arial" w:cs="Arial"/>
        </w:rPr>
      </w:pPr>
      <w:r>
        <w:rPr>
          <w:rFonts w:cs="Arial" w:ascii="Arial" w:hAnsi="Arial"/>
        </w:rPr>
      </w:r>
    </w:p>
    <w:p>
      <w:pPr>
        <w:pStyle w:val="BodyTextIndent"/>
        <w:numPr>
          <w:ilvl w:val="0"/>
          <w:numId w:val="2"/>
        </w:numPr>
        <w:jc w:val="both"/>
        <w:rPr>
          <w:rFonts w:ascii="Arial" w:hAnsi="Arial" w:cs="Arial"/>
        </w:rPr>
      </w:pPr>
      <w:r>
        <w:rPr>
          <w:rFonts w:cs="Arial" w:ascii="Arial" w:hAnsi="Arial"/>
        </w:rPr>
        <w:t>For clients</w:t>
      </w:r>
    </w:p>
    <w:p>
      <w:pPr>
        <w:pStyle w:val="BodyTextIndent"/>
        <w:numPr>
          <w:ilvl w:val="1"/>
          <w:numId w:val="9"/>
        </w:numPr>
        <w:jc w:val="both"/>
        <w:rPr>
          <w:rFonts w:ascii="Arial" w:hAnsi="Arial" w:cs="Arial"/>
        </w:rPr>
      </w:pPr>
      <w:r>
        <w:rPr>
          <w:rFonts w:cs="Arial" w:ascii="Arial" w:hAnsi="Arial"/>
        </w:rPr>
        <w:t>Advancing client knowledge and awareness of the Department, as well as general legal concepts and/or issues (e.g., contract formation, indemnification issues, and legal compliance requirements).</w:t>
      </w:r>
    </w:p>
    <w:p>
      <w:pPr>
        <w:pStyle w:val="BodyTextIndent"/>
        <w:numPr>
          <w:ilvl w:val="1"/>
          <w:numId w:val="9"/>
        </w:numPr>
        <w:jc w:val="both"/>
        <w:rPr>
          <w:rFonts w:ascii="Arial" w:hAnsi="Arial" w:cs="Arial"/>
        </w:rPr>
      </w:pPr>
      <w:r>
        <w:rPr>
          <w:rFonts w:cs="Arial" w:ascii="Arial" w:hAnsi="Arial"/>
        </w:rPr>
        <w:t>Using technology to interface with client’s for a better understanding of business matters.</w:t>
      </w:r>
    </w:p>
    <w:p>
      <w:pPr>
        <w:pStyle w:val="BodyTextIndent"/>
        <w:numPr>
          <w:ilvl w:val="1"/>
          <w:numId w:val="9"/>
        </w:numPr>
        <w:jc w:val="both"/>
        <w:rPr>
          <w:rFonts w:ascii="Arial" w:hAnsi="Arial" w:cs="Arial"/>
        </w:rPr>
      </w:pPr>
      <w:r>
        <w:rPr>
          <w:rFonts w:cs="Arial" w:ascii="Arial" w:hAnsi="Arial"/>
        </w:rPr>
        <w:t>Implementing seamless compliance training and tracking systems.</w:t>
      </w:r>
    </w:p>
    <w:p>
      <w:pPr>
        <w:pStyle w:val="BodyTextIndent"/>
        <w:ind w:firstLine="360" w:end="0"/>
        <w:jc w:val="both"/>
        <w:rPr>
          <w:rFonts w:ascii="Arial" w:hAnsi="Arial" w:cs="Arial"/>
        </w:rPr>
      </w:pPr>
      <w:r>
        <w:rPr>
          <w:rFonts w:cs="Arial" w:ascii="Arial" w:hAnsi="Arial"/>
        </w:rPr>
      </w:r>
    </w:p>
    <w:p>
      <w:pPr>
        <w:pStyle w:val="BodyTextIndent"/>
        <w:numPr>
          <w:ilvl w:val="0"/>
          <w:numId w:val="2"/>
        </w:numPr>
        <w:jc w:val="both"/>
        <w:rPr>
          <w:rFonts w:ascii="Arial" w:hAnsi="Arial" w:cs="Arial"/>
        </w:rPr>
      </w:pPr>
      <w:r>
        <w:rPr>
          <w:rFonts w:cs="Arial" w:ascii="Arial" w:hAnsi="Arial"/>
        </w:rPr>
        <w:t>For Department members</w:t>
      </w:r>
    </w:p>
    <w:p>
      <w:pPr>
        <w:pStyle w:val="BodyTextIndent"/>
        <w:numPr>
          <w:ilvl w:val="0"/>
          <w:numId w:val="5"/>
        </w:numPr>
        <w:ind w:hanging="360" w:start="1800" w:end="0"/>
        <w:jc w:val="both"/>
        <w:rPr>
          <w:rFonts w:ascii="Arial" w:hAnsi="Arial" w:cs="Arial"/>
        </w:rPr>
      </w:pPr>
      <w:r>
        <w:rPr>
          <w:rFonts w:cs="Arial" w:ascii="Arial" w:hAnsi="Arial"/>
        </w:rPr>
        <w:t>Providing knowledge in the efficient use of technology in every-day practice. Providing a means to better understand the use of available technology tools (e.g., internet navigation, Microsoft Word/Excel use), including specific functions associated with these tools.</w:t>
      </w:r>
    </w:p>
    <w:p>
      <w:pPr>
        <w:pStyle w:val="BodyTextIndent"/>
        <w:numPr>
          <w:ilvl w:val="0"/>
          <w:numId w:val="5"/>
        </w:numPr>
        <w:ind w:hanging="360" w:start="1800" w:end="0"/>
        <w:jc w:val="both"/>
        <w:rPr>
          <w:rFonts w:ascii="Arial" w:hAnsi="Arial" w:cs="Arial"/>
        </w:rPr>
      </w:pPr>
      <w:r>
        <w:rPr>
          <w:rFonts w:cs="Arial" w:ascii="Arial" w:hAnsi="Arial"/>
        </w:rPr>
        <w:t>Providing a means of prompt assistance to avoid unnecessary technology delays and problems.</w:t>
      </w:r>
    </w:p>
    <w:p>
      <w:pPr>
        <w:pStyle w:val="BodyTextIndent"/>
        <w:ind w:firstLine="360" w:end="0"/>
        <w:jc w:val="both"/>
        <w:rPr>
          <w:rFonts w:ascii="Arial" w:hAnsi="Arial" w:cs="Arial"/>
        </w:rPr>
      </w:pPr>
      <w:r>
        <w:rPr>
          <w:rFonts w:cs="Arial" w:ascii="Arial" w:hAnsi="Arial"/>
        </w:rPr>
      </w:r>
    </w:p>
    <w:p>
      <w:pPr>
        <w:pStyle w:val="BodyTextIndent"/>
        <w:ind w:firstLine="360" w:end="0"/>
        <w:jc w:val="both"/>
        <w:rPr>
          <w:rFonts w:ascii="Arial" w:hAnsi="Arial" w:cs="Arial"/>
        </w:rPr>
      </w:pPr>
      <w:r>
        <w:rPr>
          <w:rFonts w:cs="Arial" w:ascii="Arial" w:hAnsi="Arial"/>
        </w:rPr>
      </w:r>
    </w:p>
    <w:p>
      <w:pPr>
        <w:pStyle w:val="BodyTextIndent"/>
        <w:ind w:firstLine="360" w:end="0"/>
        <w:jc w:val="both"/>
        <w:rPr>
          <w:rFonts w:ascii="Arial" w:hAnsi="Arial" w:cs="Arial"/>
        </w:rPr>
      </w:pPr>
      <w:r>
        <w:rPr>
          <w:rFonts w:cs="Arial" w:ascii="Arial" w:hAnsi="Arial"/>
        </w:rPr>
        <w:t>Technology tools to be reviewed for implementation would include:</w:t>
      </w:r>
    </w:p>
    <w:p>
      <w:pPr>
        <w:pStyle w:val="BodyTextIndent"/>
        <w:ind w:firstLine="360" w:end="0"/>
        <w:jc w:val="both"/>
        <w:rPr>
          <w:rFonts w:ascii="Arial" w:hAnsi="Arial" w:cs="Arial"/>
        </w:rPr>
      </w:pPr>
      <w:r>
        <w:rPr>
          <w:rFonts w:cs="Arial" w:ascii="Arial" w:hAnsi="Arial"/>
        </w:rPr>
      </w:r>
    </w:p>
    <w:p>
      <w:pPr>
        <w:pStyle w:val="BodyTextIndent"/>
        <w:numPr>
          <w:ilvl w:val="0"/>
          <w:numId w:val="3"/>
        </w:numPr>
        <w:jc w:val="both"/>
        <w:rPr>
          <w:rFonts w:ascii="Arial" w:hAnsi="Arial" w:cs="Arial"/>
        </w:rPr>
      </w:pPr>
      <w:r>
        <w:rPr>
          <w:rFonts w:cs="Arial" w:ascii="Arial" w:hAnsi="Arial"/>
        </w:rPr>
        <w:t>Development and implementation of a Department intraweb site (similar to eHRonline.com)</w:t>
      </w:r>
    </w:p>
    <w:p>
      <w:pPr>
        <w:pStyle w:val="BodyTextIndent"/>
        <w:numPr>
          <w:ilvl w:val="0"/>
          <w:numId w:val="3"/>
        </w:numPr>
        <w:jc w:val="both"/>
        <w:rPr>
          <w:rFonts w:ascii="Arial" w:hAnsi="Arial" w:cs="Arial"/>
        </w:rPr>
      </w:pPr>
      <w:r>
        <w:rPr>
          <w:rFonts w:cs="Arial" w:ascii="Arial" w:hAnsi="Arial"/>
        </w:rPr>
        <w:t xml:space="preserve">Development and implementation of short training programs using presentation technology tools - such as internet tools found at </w:t>
      </w:r>
      <w:hyperlink r:id="rId2">
        <w:r>
          <w:rPr>
            <w:rStyle w:val="Hyperlink"/>
            <w:rFonts w:cs="Arial" w:ascii="Arial" w:hAnsi="Arial"/>
          </w:rPr>
          <w:t>www.centranow.com</w:t>
        </w:r>
      </w:hyperlink>
      <w:r>
        <w:rPr>
          <w:rFonts w:cs="Arial" w:ascii="Arial" w:hAnsi="Arial"/>
        </w:rPr>
        <w:t xml:space="preserve"> or </w:t>
      </w:r>
      <w:hyperlink r:id="rId3">
        <w:r>
          <w:rPr>
            <w:rStyle w:val="Hyperlink"/>
            <w:rFonts w:cs="Arial" w:ascii="Arial" w:hAnsi="Arial"/>
          </w:rPr>
          <w:t>www.presentation.net</w:t>
        </w:r>
      </w:hyperlink>
      <w:r>
        <w:rPr>
          <w:rFonts w:cs="Arial" w:ascii="Arial" w:hAnsi="Arial"/>
        </w:rPr>
        <w:t xml:space="preserve">   </w:t>
      </w:r>
    </w:p>
    <w:p>
      <w:pPr>
        <w:pStyle w:val="BodyTextIndent"/>
        <w:numPr>
          <w:ilvl w:val="0"/>
          <w:numId w:val="3"/>
        </w:numPr>
        <w:jc w:val="both"/>
        <w:rPr>
          <w:rFonts w:ascii="Arial" w:hAnsi="Arial" w:cs="Arial"/>
        </w:rPr>
      </w:pPr>
      <w:r>
        <w:rPr>
          <w:rFonts w:cs="Arial" w:ascii="Arial" w:hAnsi="Arial"/>
        </w:rPr>
        <w:t>Development of intraweb training tools (including server CDrom interfacing) which can be stored on and accessed through the Departments intraweb site or through other Enron intraweb sources</w:t>
      </w:r>
    </w:p>
    <w:p>
      <w:pPr>
        <w:pStyle w:val="BodyTextIndent"/>
        <w:jc w:val="both"/>
        <w:rPr>
          <w:rFonts w:ascii="Arial" w:hAnsi="Arial" w:cs="Arial"/>
        </w:rPr>
      </w:pPr>
      <w:r>
        <w:rPr>
          <w:rFonts w:cs="Arial" w:ascii="Arial" w:hAnsi="Arial"/>
        </w:rPr>
      </w:r>
    </w:p>
    <w:p>
      <w:pPr>
        <w:pStyle w:val="BodyTextIndent"/>
        <w:jc w:val="both"/>
        <w:rPr>
          <w:rFonts w:ascii="Arial" w:hAnsi="Arial" w:cs="Arial"/>
        </w:rPr>
      </w:pPr>
      <w:r>
        <w:rPr>
          <w:rFonts w:cs="Arial" w:ascii="Arial" w:hAnsi="Arial"/>
        </w:rPr>
      </w:r>
    </w:p>
    <w:p>
      <w:pPr>
        <w:pStyle w:val="BodyTextIndent"/>
        <w:jc w:val="both"/>
        <w:rPr>
          <w:rFonts w:ascii="Arial" w:hAnsi="Arial" w:cs="Arial"/>
        </w:rPr>
      </w:pPr>
      <w:r>
        <w:rPr>
          <w:rFonts w:cs="Arial" w:ascii="Arial" w:hAnsi="Arial"/>
        </w:rPr>
      </w:r>
    </w:p>
    <w:p>
      <w:pPr>
        <w:pStyle w:val="BodyTextIndent"/>
        <w:jc w:val="both"/>
        <w:rPr>
          <w:rFonts w:ascii="Arial" w:hAnsi="Arial" w:cs="Arial"/>
        </w:rPr>
      </w:pPr>
      <w:r>
        <w:rPr>
          <w:rFonts w:cs="Arial" w:ascii="Arial" w:hAnsi="Arial"/>
        </w:rPr>
      </w:r>
    </w:p>
    <w:p>
      <w:pPr>
        <w:pStyle w:val="BodyTextIndent"/>
        <w:numPr>
          <w:ilvl w:val="0"/>
          <w:numId w:val="3"/>
        </w:numPr>
        <w:jc w:val="both"/>
        <w:rPr>
          <w:rFonts w:ascii="Arial" w:hAnsi="Arial" w:cs="Arial"/>
        </w:rPr>
      </w:pPr>
      <w:r>
        <w:rPr>
          <w:rFonts w:cs="Arial" w:ascii="Arial" w:hAnsi="Arial"/>
        </w:rPr>
        <w:t>For Department members, providing in-house technology training seminars or conferences (possibly using internet resources such as Microsoft, Adobe or existing training sites)</w:t>
      </w:r>
    </w:p>
    <w:p>
      <w:pPr>
        <w:pStyle w:val="BodyTextIndent"/>
        <w:numPr>
          <w:ilvl w:val="0"/>
          <w:numId w:val="3"/>
        </w:numPr>
        <w:jc w:val="both"/>
        <w:rPr>
          <w:rFonts w:ascii="Arial" w:hAnsi="Arial" w:cs="Arial"/>
        </w:rPr>
      </w:pPr>
      <w:r>
        <w:rPr>
          <w:rFonts w:cs="Arial" w:ascii="Arial" w:hAnsi="Arial"/>
        </w:rPr>
        <w:t xml:space="preserve">Interfacing directly with internal intellectual technology personnel </w:t>
      </w:r>
    </w:p>
    <w:p>
      <w:pPr>
        <w:pStyle w:val="BodyTextIndent"/>
        <w:ind w:hanging="0" w:start="720" w:end="0"/>
        <w:jc w:val="both"/>
        <w:rPr>
          <w:rFonts w:ascii="Arial" w:hAnsi="Arial" w:cs="Arial"/>
        </w:rPr>
      </w:pPr>
      <w:r>
        <w:rPr>
          <w:rFonts w:cs="Arial" w:ascii="Arial" w:hAnsi="Arial"/>
        </w:rPr>
      </w:r>
    </w:p>
    <w:p>
      <w:pPr>
        <w:pStyle w:val="BodyTextIndent"/>
        <w:ind w:hanging="0" w:start="360" w:end="0"/>
        <w:jc w:val="both"/>
        <w:rPr>
          <w:rFonts w:ascii="Arial" w:hAnsi="Arial" w:eastAsia="Arial" w:cs="Arial"/>
        </w:rPr>
      </w:pPr>
      <w:r>
        <w:rPr>
          <w:rFonts w:eastAsia="Arial" w:cs="Arial" w:ascii="Arial" w:hAnsi="Arial"/>
        </w:rPr>
        <w:t xml:space="preserve"> </w:t>
      </w:r>
    </w:p>
    <w:p>
      <w:pPr>
        <w:pStyle w:val="Heading1"/>
        <w:ind w:hanging="0" w:start="0"/>
        <w:rPr/>
      </w:pPr>
      <w:r>
        <w:rPr/>
        <w:t>C.  Intra-Department Technology Use</w:t>
      </w:r>
    </w:p>
    <w:p>
      <w:pPr>
        <w:pStyle w:val="Normal"/>
        <w:jc w:val="both"/>
        <w:rPr>
          <w:rFonts w:ascii="Arial" w:hAnsi="Arial" w:cs="Arial"/>
          <w:sz w:val="22"/>
        </w:rPr>
      </w:pPr>
      <w:r>
        <w:rPr>
          <w:rFonts w:cs="Arial" w:ascii="Arial" w:hAnsi="Arial"/>
          <w:sz w:val="22"/>
        </w:rPr>
      </w:r>
    </w:p>
    <w:p>
      <w:pPr>
        <w:pStyle w:val="BodyTextIndent3"/>
        <w:rPr>
          <w:rFonts w:ascii="Arial" w:hAnsi="Arial" w:cs="Arial"/>
        </w:rPr>
      </w:pPr>
      <w:r>
        <w:rPr>
          <w:rFonts w:cs="Arial" w:ascii="Arial" w:hAnsi="Arial"/>
        </w:rPr>
        <w:t>The third phase of the plan focuses on the goal of improving overall Department performance through technology implementation.  Essential elements of this phase include:</w:t>
      </w:r>
    </w:p>
    <w:p>
      <w:pPr>
        <w:pStyle w:val="BodyTextIndent3"/>
        <w:rPr>
          <w:rFonts w:ascii="Arial" w:hAnsi="Arial" w:cs="Arial"/>
        </w:rPr>
      </w:pPr>
      <w:r>
        <w:rPr>
          <w:rFonts w:cs="Arial" w:ascii="Arial" w:hAnsi="Arial"/>
        </w:rPr>
      </w:r>
    </w:p>
    <w:p>
      <w:pPr>
        <w:pStyle w:val="BodyTextIndent3"/>
        <w:numPr>
          <w:ilvl w:val="0"/>
          <w:numId w:val="7"/>
        </w:numPr>
        <w:rPr>
          <w:rFonts w:ascii="Arial" w:hAnsi="Arial" w:cs="Arial"/>
        </w:rPr>
      </w:pPr>
      <w:r>
        <w:rPr>
          <w:rFonts w:cs="Arial" w:ascii="Arial" w:hAnsi="Arial"/>
        </w:rPr>
        <w:t>The use of technology to provide better communication, organization and tracking of Department ideas and matters.</w:t>
      </w:r>
    </w:p>
    <w:p>
      <w:pPr>
        <w:pStyle w:val="BodyTextIndent3"/>
        <w:numPr>
          <w:ilvl w:val="0"/>
          <w:numId w:val="7"/>
        </w:numPr>
        <w:rPr>
          <w:rFonts w:ascii="Arial" w:hAnsi="Arial" w:cs="Arial"/>
        </w:rPr>
      </w:pPr>
      <w:r>
        <w:rPr>
          <w:rFonts w:cs="Arial" w:ascii="Arial" w:hAnsi="Arial"/>
        </w:rPr>
        <w:t>Moving internal administrative functions from traditional paper based systems to technology, paperless based systems.</w:t>
      </w:r>
    </w:p>
    <w:p>
      <w:pPr>
        <w:pStyle w:val="BodyTextIndent3"/>
        <w:numPr>
          <w:ilvl w:val="0"/>
          <w:numId w:val="7"/>
        </w:numPr>
        <w:rPr>
          <w:rFonts w:ascii="Arial" w:hAnsi="Arial" w:cs="Arial"/>
        </w:rPr>
      </w:pPr>
      <w:r>
        <w:rPr>
          <w:rFonts w:cs="Arial" w:ascii="Arial" w:hAnsi="Arial"/>
        </w:rPr>
        <w:t>Enabling prompt technology implementation and innovation by providing the Department with dedicated resources.</w:t>
      </w:r>
    </w:p>
    <w:p>
      <w:pPr>
        <w:pStyle w:val="BodyTextIndent3"/>
        <w:rPr>
          <w:rFonts w:ascii="Arial" w:hAnsi="Arial" w:cs="Arial"/>
        </w:rPr>
      </w:pPr>
      <w:r>
        <w:rPr>
          <w:rFonts w:cs="Arial" w:ascii="Arial" w:hAnsi="Arial"/>
        </w:rPr>
      </w:r>
    </w:p>
    <w:p>
      <w:pPr>
        <w:pStyle w:val="BodyTextIndent3"/>
        <w:rPr>
          <w:rFonts w:ascii="Arial" w:hAnsi="Arial" w:cs="Arial"/>
        </w:rPr>
      </w:pPr>
      <w:r>
        <w:rPr>
          <w:rFonts w:cs="Arial" w:ascii="Arial" w:hAnsi="Arial"/>
        </w:rPr>
        <w:t>Though the driving force in this phase is technology implementation aimed at the overall Department goal of better servicing our clients, actual implementation of technology systems should also focus on secondary Department goals.  These secondary goals could be as simple as annual cost savings or as challenging as achieving an “industry” standard (e.g., first quartile ranking in national ranking surveys of corporate legal departments).  Either way, any goal should be capable of motivating the Department to succeed.</w:t>
      </w:r>
    </w:p>
    <w:p>
      <w:pPr>
        <w:pStyle w:val="BodyTextIndent3"/>
        <w:rPr>
          <w:rFonts w:ascii="Arial" w:hAnsi="Arial" w:cs="Arial"/>
        </w:rPr>
      </w:pPr>
      <w:r>
        <w:rPr>
          <w:rFonts w:cs="Arial" w:ascii="Arial" w:hAnsi="Arial"/>
        </w:rPr>
      </w:r>
    </w:p>
    <w:p>
      <w:pPr>
        <w:pStyle w:val="BodyTextIndent3"/>
        <w:rPr>
          <w:rFonts w:ascii="Arial" w:hAnsi="Arial" w:cs="Arial"/>
        </w:rPr>
      </w:pPr>
      <w:r>
        <w:rPr>
          <w:rFonts w:cs="Arial" w:ascii="Arial" w:hAnsi="Arial"/>
        </w:rPr>
        <w:t>Technology tools to be reviewed for implementation would include:</w:t>
      </w:r>
    </w:p>
    <w:p>
      <w:pPr>
        <w:pStyle w:val="BodyTextIndent3"/>
        <w:rPr>
          <w:rFonts w:ascii="Arial" w:hAnsi="Arial" w:cs="Arial"/>
        </w:rPr>
      </w:pPr>
      <w:r>
        <w:rPr>
          <w:rFonts w:cs="Arial" w:ascii="Arial" w:hAnsi="Arial"/>
        </w:rPr>
      </w:r>
    </w:p>
    <w:p>
      <w:pPr>
        <w:pStyle w:val="BodyTextIndent3"/>
        <w:numPr>
          <w:ilvl w:val="0"/>
          <w:numId w:val="4"/>
        </w:numPr>
        <w:rPr>
          <w:rFonts w:ascii="Arial" w:hAnsi="Arial" w:cs="Arial"/>
        </w:rPr>
      </w:pPr>
      <w:r>
        <w:rPr>
          <w:rFonts w:cs="Arial" w:ascii="Arial" w:hAnsi="Arial"/>
        </w:rPr>
        <w:t>Dedicated Department server(s)</w:t>
      </w:r>
    </w:p>
    <w:p>
      <w:pPr>
        <w:pStyle w:val="BodyTextIndent3"/>
        <w:numPr>
          <w:ilvl w:val="0"/>
          <w:numId w:val="4"/>
        </w:numPr>
        <w:rPr>
          <w:rFonts w:ascii="Arial" w:hAnsi="Arial" w:cs="Arial"/>
        </w:rPr>
      </w:pPr>
      <w:r>
        <w:rPr>
          <w:rFonts w:cs="Arial" w:ascii="Arial" w:hAnsi="Arial"/>
        </w:rPr>
        <w:t>Internal tracking technologies capable of tracking the status of transactions and providing information to all Department members involved or having an interest in specific transactions</w:t>
      </w:r>
    </w:p>
    <w:p>
      <w:pPr>
        <w:pStyle w:val="BodyTextIndent3"/>
        <w:numPr>
          <w:ilvl w:val="0"/>
          <w:numId w:val="4"/>
        </w:numPr>
        <w:rPr>
          <w:rFonts w:ascii="Arial" w:hAnsi="Arial" w:cs="Arial"/>
        </w:rPr>
      </w:pPr>
      <w:r>
        <w:rPr>
          <w:rFonts w:cs="Arial" w:ascii="Arial" w:hAnsi="Arial"/>
        </w:rPr>
        <w:t>Library technologies capable of storing, organizing and tracking items such as legal opinions, form documents and Department announcements/policies (with access by all Department members)</w:t>
      </w:r>
    </w:p>
    <w:p>
      <w:pPr>
        <w:pStyle w:val="BodyTextIndent3"/>
        <w:numPr>
          <w:ilvl w:val="0"/>
          <w:numId w:val="4"/>
        </w:numPr>
        <w:rPr>
          <w:rFonts w:ascii="Arial" w:hAnsi="Arial" w:cs="Arial"/>
        </w:rPr>
      </w:pPr>
      <w:r>
        <w:rPr>
          <w:rFonts w:cs="Arial" w:ascii="Arial" w:hAnsi="Arial"/>
        </w:rPr>
        <w:t>Accounting technologies capable of receiving external billings (such as outside counsel billings and corporate credit card statements) and processing them for payment through Enron internal technology sources (which may require coordination with other Enron departments (e.g., accounting)).</w:t>
      </w:r>
    </w:p>
    <w:p>
      <w:pPr>
        <w:pStyle w:val="BodyTextIndent3"/>
        <w:rPr>
          <w:rFonts w:ascii="Arial" w:hAnsi="Arial" w:cs="Arial"/>
        </w:rPr>
      </w:pPr>
      <w:r>
        <w:rPr>
          <w:rFonts w:cs="Arial" w:ascii="Arial" w:hAnsi="Arial"/>
        </w:rPr>
      </w:r>
    </w:p>
    <w:p>
      <w:pPr>
        <w:pStyle w:val="BodyTextIndent3"/>
        <w:ind w:hanging="0" w:end="0"/>
        <w:rPr>
          <w:rFonts w:ascii="Arial" w:hAnsi="Arial" w:cs="Arial"/>
        </w:rPr>
      </w:pPr>
      <w:r>
        <w:rPr>
          <w:rFonts w:cs="Arial" w:ascii="Arial" w:hAnsi="Arial"/>
        </w:rPr>
      </w:r>
    </w:p>
    <w:p>
      <w:pPr>
        <w:pStyle w:val="BodyTextIndent3"/>
        <w:rPr>
          <w:rFonts w:ascii="Arial" w:hAnsi="Arial" w:cs="Arial"/>
        </w:rPr>
      </w:pPr>
      <w:r>
        <w:rPr>
          <w:rFonts w:cs="Arial" w:ascii="Arial" w:hAnsi="Arial"/>
        </w:rPr>
        <w:t>Timing for implementation of the plan is somewhat open, but has been discussed at between three to five years.  Recognizing that technology will change dramatically during this time, the plan is intended to be fluid in nature, being able to shift as the needs of the Department and its clients shift.  The only constant in the plan will remain the overall goal of ensuring the client continues to view the Department as an essential component of Enron’s business.</w:t>
      </w:r>
    </w:p>
    <w:p>
      <w:pPr>
        <w:pStyle w:val="BodyTextIndent3"/>
        <w:rPr>
          <w:rFonts w:ascii="Arial" w:hAnsi="Arial" w:cs="Arial"/>
        </w:rPr>
      </w:pPr>
      <w:r>
        <w:rPr>
          <w:rFonts w:cs="Arial" w:ascii="Arial" w:hAnsi="Arial"/>
        </w:rPr>
      </w:r>
    </w:p>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/mnt/main-storage/datasets/enron-docs/doc/legaldepttechnonlgyplan_9_11_00_.doc</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 Plan</w:t>
    </w:r>
  </w:p>
  <w:p>
    <w:pPr>
      <w:pStyle w:val="Header"/>
      <w:rPr>
        <w:b/>
        <w:bCs/>
      </w:rPr>
    </w:pPr>
    <w:r>
      <w:rPr>
        <w:b/>
        <w:bCs/>
      </w:rPr>
      <w:t>September 11,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end"/>
      <w:pPr>
        <w:tabs>
          <w:tab w:val="num" w:pos="1080"/>
        </w:tabs>
        <w:ind w:start="1080" w:hanging="360"/>
      </w:pPr>
    </w:lvl>
  </w:abstractNum>
  <w:abstractNum w:abstractNumId="3">
    <w:lvl w:ilvl="0">
      <w:start w:val="1"/>
      <w:numFmt w:val="bullet"/>
      <w:lvlText w:val=""/>
      <w:lvlJc w:val="start"/>
      <w:pPr>
        <w:tabs>
          <w:tab w:val="num" w:pos="1080"/>
        </w:tabs>
        <w:ind w:start="1080" w:hanging="360"/>
      </w:pPr>
      <w:rPr>
        <w:rFonts w:ascii="Wingdings" w:hAnsi="Wingdings" w:cs="Wingdings" w:hint="default"/>
      </w:rPr>
    </w:lvl>
  </w:abstractNum>
  <w:abstractNum w:abstractNumId="4">
    <w:lvl w:ilvl="0">
      <w:start w:val="1"/>
      <w:numFmt w:val="bullet"/>
      <w:lvlText w:val=""/>
      <w:lvlJc w:val="start"/>
      <w:pPr>
        <w:tabs>
          <w:tab w:val="num" w:pos="1440"/>
        </w:tabs>
        <w:ind w:start="1440" w:hanging="360"/>
      </w:pPr>
      <w:rPr>
        <w:rFonts w:ascii="Wingdings" w:hAnsi="Wingdings" w:cs="Wingdings"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Wingdings" w:hAnsi="Wingdings" w:cs="Wingdings" w:hint="default"/>
      </w:rPr>
    </w:lvl>
  </w:abstractNum>
  <w:abstractNum w:abstractNumId="7">
    <w:lvl w:ilvl="0">
      <w:start w:val="1"/>
      <w:numFmt w:val="lowerRoman"/>
      <w:lvlText w:val="%1."/>
      <w:lvlJc w:val="end"/>
      <w:pPr>
        <w:tabs>
          <w:tab w:val="num" w:pos="1080"/>
        </w:tabs>
        <w:ind w:start="1080" w:hanging="360"/>
      </w:pPr>
    </w:lvl>
  </w:abstractNum>
  <w:abstractNum w:abstractNumId="8">
    <w:lvl w:ilvl="0">
      <w:start w:val="1"/>
      <w:numFmt w:val="lowerRoman"/>
      <w:lvlText w:val="%1."/>
      <w:lvlJc w:val="end"/>
      <w:pPr>
        <w:tabs>
          <w:tab w:val="num" w:pos="1080"/>
        </w:tabs>
        <w:ind w:start="1080" w:hanging="360"/>
      </w:pPr>
    </w:lvl>
  </w:abstractNum>
  <w:abstractNum w:abstractNumId="9">
    <w:lvl w:ilvl="0">
      <w:start w:val="1"/>
      <w:numFmt w:val="lowerRoman"/>
      <w:lvlText w:val="%1."/>
      <w:lvlJc w:val="end"/>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upperLetter"/>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sz w:val="22"/>
      <w:u w:val="single"/>
    </w:rPr>
  </w:style>
  <w:style w:type="character" w:styleId="WW8Num1z0">
    <w:name w:val="WW8Num1z0"/>
    <w:qFormat/>
    <w:rPr/>
  </w:style>
  <w:style w:type="character" w:styleId="WW8Num2z0">
    <w:name w:val="WW8Num2z0"/>
    <w:qFormat/>
    <w:rPr/>
  </w:style>
  <w:style w:type="character" w:styleId="WW8Num3z1">
    <w:name w:val="WW8Num3z1"/>
    <w:qFormat/>
    <w:rPr>
      <w:rFonts w:ascii="Symbol" w:hAnsi="Symbol" w:cs="Symbol"/>
    </w:rPr>
  </w:style>
  <w:style w:type="character" w:styleId="WW8Num3z2">
    <w:name w:val="WW8Num3z2"/>
    <w:qFormat/>
    <w:rPr>
      <w:rFonts w:ascii="Wingdings" w:hAnsi="Wingdings" w:cs="Wingdings"/>
      <w:sz w:val="16"/>
    </w:rPr>
  </w:style>
  <w:style w:type="character" w:styleId="WW8Num3z4">
    <w:name w:val="WW8Num3z4"/>
    <w:qFormat/>
    <w:rPr>
      <w:rFonts w:ascii="Courier New" w:hAnsi="Courier New" w:cs="Courier New"/>
    </w:rPr>
  </w:style>
  <w:style w:type="character" w:styleId="WW8Num3z5">
    <w:name w:val="WW8Num3z5"/>
    <w:qFormat/>
    <w:rPr>
      <w:rFonts w:ascii="Wingdings" w:hAnsi="Wingdings" w:cs="Wingdings"/>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1">
    <w:name w:val="WW8Num5z1"/>
    <w:qFormat/>
    <w:rPr>
      <w:rFonts w:ascii="Symbol" w:hAnsi="Symbol" w:cs="Symbol"/>
    </w:rPr>
  </w:style>
  <w:style w:type="character" w:styleId="WW8Num5z2">
    <w:name w:val="WW8Num5z2"/>
    <w:qFormat/>
    <w:rPr>
      <w:rFonts w:ascii="Wingdings" w:hAnsi="Wingdings" w:cs="Wingdings"/>
      <w:sz w:val="16"/>
    </w:rPr>
  </w:style>
  <w:style w:type="character" w:styleId="WW8Num5z4">
    <w:name w:val="WW8Num5z4"/>
    <w:qFormat/>
    <w:rPr>
      <w:rFonts w:ascii="Courier New" w:hAnsi="Courier New" w:cs="Courier New"/>
    </w:rPr>
  </w:style>
  <w:style w:type="character" w:styleId="WW8Num5z5">
    <w:name w:val="WW8Num5z5"/>
    <w:qFormat/>
    <w:rPr>
      <w:rFonts w:ascii="Wingdings" w:hAnsi="Wingdings" w:cs="Wingdings"/>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sz w:val="16"/>
    </w:rPr>
  </w:style>
  <w:style w:type="character" w:styleId="WW8Num20z1">
    <w:name w:val="WW8Num20z1"/>
    <w:qFormat/>
    <w:rPr>
      <w:rFonts w:ascii="Symbol" w:hAnsi="Symbol" w:cs="Symbol"/>
    </w:rPr>
  </w:style>
  <w:style w:type="character" w:styleId="WW8Num20z4">
    <w:name w:val="WW8Num20z4"/>
    <w:qFormat/>
    <w:rPr>
      <w:rFonts w:ascii="Courier New" w:hAnsi="Courier New" w:cs="Courier New"/>
    </w:rPr>
  </w:style>
  <w:style w:type="character" w:styleId="WW8Num20z5">
    <w:name w:val="WW8Num20z5"/>
    <w:qFormat/>
    <w:rPr>
      <w:rFonts w:ascii="Wingdings" w:hAnsi="Wingdings" w:cs="Wingdings"/>
    </w:rPr>
  </w:style>
  <w:style w:type="character" w:styleId="WW8Num21z0">
    <w:name w:val="WW8Num21z0"/>
    <w:qFormat/>
    <w:rPr/>
  </w:style>
  <w:style w:type="character" w:styleId="WW8Num22z1">
    <w:name w:val="WW8Num22z1"/>
    <w:qFormat/>
    <w:rPr>
      <w:rFonts w:ascii="Symbol" w:hAnsi="Symbol" w:cs="Symbol"/>
    </w:rPr>
  </w:style>
  <w:style w:type="character" w:styleId="WW8Num23z0">
    <w:name w:val="WW8Num23z0"/>
    <w:qFormat/>
    <w:rPr/>
  </w:style>
  <w:style w:type="character" w:styleId="WW8Num24z0">
    <w:name w:val="WW8Num24z0"/>
    <w:qFormat/>
    <w:rPr/>
  </w:style>
  <w:style w:type="character" w:styleId="WW8Num26z0">
    <w:name w:val="WW8Num26z0"/>
    <w:qFormat/>
    <w:rPr>
      <w:rFonts w:ascii="Wingdings" w:hAnsi="Wingdings" w:cs="Wingdings"/>
      <w:sz w:val="16"/>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360" w:start="0" w:end="0"/>
      <w:jc w:val="both"/>
    </w:pPr>
    <w:rPr>
      <w:sz w:val="22"/>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entranow.com/" TargetMode="External"/><Relationship Id="rId3" Type="http://schemas.openxmlformats.org/officeDocument/2006/relationships/hyperlink" Target="http://www.presentation.ne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2000-09-08T23:14:00Z</dcterms:created>
  <dc:creator>mgreenbe</dc:creator>
  <dc:description/>
  <dc:language>en-CA</dc:language>
  <cp:lastModifiedBy>mgreenbe</cp:lastModifiedBy>
  <cp:lastPrinted>2000-09-11T15:37:00Z</cp:lastPrinted>
  <dcterms:modified xsi:type="dcterms:W3CDTF">2000-09-11T18:08:00Z</dcterms:modified>
  <cp:revision>8</cp:revision>
  <dc:subject/>
  <dc:title>Technology Plan</dc:title>
</cp:coreProperties>
</file>