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635" cy="9525"/>
            <wp:effectExtent l="0" t="0" r="0" b="0"/>
            <wp:wrapTopAndBottom/>
            <wp:docPr id="1" name="cle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ar" descr="" title=""/>
                    <pic:cNvPicPr>
                      <a:picLocks noChangeAspect="1" noChangeArrowheads="1"/>
                    </pic:cNvPicPr>
                  </pic:nvPicPr>
                  <pic:blipFill>
                    <a:blip r:link="rId2"/>
                    <a:srcRect l="-2147483648" t="-2147483648" r="-2147483648" b="-2147483648"/>
                    <a:stretch>
                      <a:fillRect/>
                    </a:stretch>
                  </pic:blipFill>
                  <pic:spPr bwMode="auto">
                    <a:xfrm>
                      <a:off x="0" y="0"/>
                      <a:ext cx="635" cy="9525"/>
                    </a:xfrm>
                    <a:prstGeom prst="rect">
                      <a:avLst/>
                    </a:prstGeom>
                    <a:noFill/>
                  </pic:spPr>
                </pic:pic>
              </a:graphicData>
            </a:graphic>
          </wp:anchor>
        </w:drawing>
        <w:br/>
        <w:t>Legal &amp; Privacy Statement</w:t>
        <w:br/>
      </w: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367665" cy="635"/>
            <wp:effectExtent l="0" t="0" r="0" b="0"/>
            <wp:wrapTopAndBottom/>
            <wp:docPr id="2" name="headline_line_pixe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line_line_pixel" descr="" title=""/>
                    <pic:cNvPicPr>
                      <a:picLocks noChangeAspect="1" noChangeArrowheads="1"/>
                    </pic:cNvPicPr>
                  </pic:nvPicPr>
                  <pic:blipFill>
                    <a:blip r:link="rId3"/>
                    <a:srcRect l="-2147483648" t="-2147483648" r="-2147483648" b="-2147483648"/>
                    <a:stretch>
                      <a:fillRect/>
                    </a:stretch>
                  </pic:blipFill>
                  <pic:spPr bwMode="auto">
                    <a:xfrm>
                      <a:off x="0" y="0"/>
                      <a:ext cx="367665" cy="635"/>
                    </a:xfrm>
                    <a:prstGeom prst="rect">
                      <a:avLst/>
                    </a:prstGeom>
                    <a:noFill/>
                  </pic:spPr>
                </pic:pic>
              </a:graphicData>
            </a:graphic>
          </wp:anchor>
        </w:drawing>
        <w:br/>
      </w:r>
      <w: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635" cy="9525"/>
            <wp:effectExtent l="0" t="0" r="0" b="0"/>
            <wp:wrapTopAndBottom/>
            <wp:docPr id="3" name="cle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ear" descr="" title=""/>
                    <pic:cNvPicPr>
                      <a:picLocks noChangeAspect="1" noChangeArrowheads="1"/>
                    </pic:cNvPicPr>
                  </pic:nvPicPr>
                  <pic:blipFill>
                    <a:blip r:link="rId4"/>
                    <a:srcRect l="-2147483648" t="-2147483648" r="-2147483648" b="-2147483648"/>
                    <a:stretch>
                      <a:fillRect/>
                    </a:stretch>
                  </pic:blipFill>
                  <pic:spPr bwMode="auto">
                    <a:xfrm>
                      <a:off x="0" y="0"/>
                      <a:ext cx="635" cy="9525"/>
                    </a:xfrm>
                    <a:prstGeom prst="rect">
                      <a:avLst/>
                    </a:prstGeom>
                    <a:noFill/>
                  </pic:spPr>
                </pic:pic>
              </a:graphicData>
            </a:graphic>
          </wp:anchor>
        </w:drawing>
      </w:r>
      <w:r>
        <w:rPr/>
        <w:br/>
        <w:t>YOU SHOULD READ THIS LEGAL AND PRIVACY STATEMENT BEFORE USING THIS WEBSITE. By continuing to access or use this website, you expressly acknowledge and agree to the terms and conditions set forth in this Legal and Privacy statement. Enron reserves the right to modify this Legal and Privacy statement at any time, so you should review these terms and conditions whenever accessing or using this website. By using the website after the posting of modifications to the terms and conditions set forth in this Legal and Privacy statement, you signify your acceptance of such terms and conditions, as modified. You may not use this website if, at any time, you do not wish to accept the terms and conditions as set forth in this Legal and Privacy statement.</w:t>
      </w:r>
    </w:p>
    <w:p>
      <w:pPr>
        <w:pStyle w:val="Normal"/>
        <w:rPr/>
      </w:pPr>
      <w:r>
        <w:rPr/>
        <w:t xml:space="preserve"> </w:t>
      </w:r>
    </w:p>
    <w:p>
      <w:pPr>
        <w:pStyle w:val="Normal"/>
        <w:numPr>
          <w:ilvl w:val="0"/>
          <w:numId w:val="4"/>
        </w:numPr>
        <w:tabs>
          <w:tab w:val="left" w:pos="720" w:leader="none"/>
        </w:tabs>
        <w:outlineLvl w:val="0"/>
        <w:rPr/>
      </w:pPr>
      <w:r>
        <w:rPr/>
        <w:t xml:space="preserve">All information and material including images, text and audio on this website is the property of Enron Corp. and/or its subsidiaries (and/or its or its subsidiaries' licensors) (collectively "Enron") and is subject to copyright. BrokerClient, BrokerClient.com,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this Legal and Privacy statement. Any sale, transmission or redistribution of this website or its content, and any copying, modification or other use of this website or its content for any purposes other than your own internal business purposes, are strictly prohibited. </w:t>
        <w:br/>
      </w:r>
    </w:p>
    <w:p>
      <w:pPr>
        <w:pStyle w:val="Normal"/>
        <w:numPr>
          <w:ilvl w:val="0"/>
          <w:numId w:val="1"/>
        </w:numPr>
        <w:tabs>
          <w:tab w:val="left" w:pos="720" w:leader="none"/>
        </w:tabs>
        <w:outlineLvl w:val="0"/>
        <w:rPr/>
      </w:pPr>
      <w:r>
        <w:rPr/>
        <w:t xml:space="preserve">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Enron as between you and Enron. Except as specifically permitted by the terms of this Legal and Privacy statement, you shall not use the Intellectual Property Rights or the website, or any derivations thereof, for any purpose, without Enron's prior written approval. You agree to protect the proprietary rights of Enron and all others having rights in the website and to comply with all reasonable written requests made by Enron or its suppliers of content or otherwise ("Suppliers") to protect their and others' contractual, statutory and common law rights in the website. You agree to provide Enron with prompt written notice of any unauthorized access or use of the website by any party or of any claim that the website infringes upon any copyright, trademark or other contractual, statutory or common law rights. </w:t>
        <w:br/>
      </w:r>
    </w:p>
    <w:p>
      <w:pPr>
        <w:pStyle w:val="Normal"/>
        <w:numPr>
          <w:ilvl w:val="0"/>
          <w:numId w:val="1"/>
        </w:numPr>
        <w:tabs>
          <w:tab w:val="left" w:pos="720" w:leader="none"/>
        </w:tabs>
        <w:outlineLvl w:val="0"/>
        <w:rPr/>
      </w:pPr>
      <w:r>
        <w:rPr/>
        <w:t xml:space="preserve">This website is provided solely for information purposes and, with the exception of this Legal and Privacy statement, is not intended to, and shall not, constitute any offer or acceptance with the respect to any transactions or other matters. Except for this Legal and Privacy statement, this website shall not create any legal relationship between you and Enron, unless you have signed a Password Application, in which case the Password Application and Broker Electronic Trading Agreement, and all terms and conditions referred to therein, shall govern your access and utilization of this website. Copies of the Broker Electronic Trading Agreement may be obtained through the "Contact Us" Section of this website. </w:t>
        <w:br/>
      </w:r>
    </w:p>
    <w:p>
      <w:pPr>
        <w:pStyle w:val="Normal"/>
        <w:numPr>
          <w:ilvl w:val="0"/>
          <w:numId w:val="1"/>
        </w:numPr>
        <w:tabs>
          <w:tab w:val="left" w:pos="720" w:leader="none"/>
        </w:tabs>
        <w:outlineLvl w:val="0"/>
        <w:rPr/>
      </w:pPr>
      <w:r>
        <w:rPr/>
        <w:t xml:space="preserve">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Enron will not enter into transactions with persons who would be regarded as private customers under the rules of SFA. For Belgian residents: please note that, pursuant to the Belgian law of 14 July 1991 on Commercial Practices, this website is to be considered as being advertising (reclame/publicité). </w:t>
        <w:br/>
      </w:r>
    </w:p>
    <w:p>
      <w:pPr>
        <w:pStyle w:val="Normal"/>
        <w:numPr>
          <w:ilvl w:val="0"/>
          <w:numId w:val="1"/>
        </w:numPr>
        <w:tabs>
          <w:tab w:val="left" w:pos="720" w:leader="none"/>
        </w:tabs>
        <w:outlineLvl w:val="0"/>
        <w:rPr/>
      </w:pPr>
      <w:r>
        <w:rPr/>
        <w:t xml:space="preserve">This website and the information and material which it contains are subject to change at any time by Enron without notice and Enron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Enron does not warrant that the website is compatible with your equipment or that the website is free of errors, viruses or worms. In no event shall Enron be liable for any damage you may suffer as a result of such destructive features. All warranties, whether express or implied, are hereby excluded to the extent permitted by law. </w:t>
        <w:br/>
      </w:r>
    </w:p>
    <w:p>
      <w:pPr>
        <w:pStyle w:val="Normal"/>
        <w:numPr>
          <w:ilvl w:val="0"/>
          <w:numId w:val="1"/>
        </w:numPr>
        <w:tabs>
          <w:tab w:val="left" w:pos="720" w:leader="none"/>
        </w:tabs>
        <w:outlineLvl w:val="0"/>
        <w:rPr/>
      </w:pPr>
      <w:r>
        <w:rPr/>
        <w:t xml:space="preserve">Enron and its directors, officers, employees and agents shall, to the extent permitted by law, have no liability, contingent or otherwise, whether caused by the negligence of Enron, its employees, subcontractors, agents, Suppliers, or otherwise, to you or to third parties for the accuracy, timeliness, completeness, reliability, performance or continued availability of this website or for delays or omissions therein, including, but not limited to, inaccuracies or errors in or omissions from quotes and financial data. Enron shall have no responsibility to maintain the information or services made available on this website or to supply any corrections or updates in connection with such information or services. IN NO EVENT WILL ENRON, ITS SUPPLIERS, OR ITS THIRD PARTY AGENTS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 EVEN IF ENRON HAS BEEN ADVISED OF THE POSSIBILITY OF SUCH DAMAGES. Any limitations or restrictions on liability in this Legal and Privacy statement shall only apply to the extent permitted by applicable law. In no event shall Enron's total liability to you for all damages, losses and causes of action (whether in contract or tort, including but not limited to, negligence) exceed the amount paid by you to Enron, if any, for accessing this website. </w:t>
        <w:br/>
      </w:r>
    </w:p>
    <w:p>
      <w:pPr>
        <w:pStyle w:val="Normal"/>
        <w:numPr>
          <w:ilvl w:val="0"/>
          <w:numId w:val="1"/>
        </w:numPr>
        <w:tabs>
          <w:tab w:val="left" w:pos="720" w:leader="none"/>
        </w:tabs>
        <w:outlineLvl w:val="0"/>
        <w:rPr/>
      </w:pPr>
      <w:r>
        <w:rPr/>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neither you nor your customers should enter into any transactions unless you and they fully understand all of these risks and have independently determined that the risks are acceptable to them and that the transactions are appropriate for them in light of their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br/>
      </w:r>
    </w:p>
    <w:p>
      <w:pPr>
        <w:pStyle w:val="Normal"/>
        <w:numPr>
          <w:ilvl w:val="0"/>
          <w:numId w:val="1"/>
        </w:numPr>
        <w:tabs>
          <w:tab w:val="left" w:pos="720" w:leader="none"/>
        </w:tabs>
        <w:outlineLvl w:val="0"/>
        <w:rPr/>
      </w:pPr>
      <w:r>
        <w:rPr/>
        <w:t xml:space="preserve">Neither you nor your customers should 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or your customer’s advisor or fiduciary and, if any of you require advice with respect to the products identified in this website or any contemplated transactions, you should consult your own business, financial, accounting or legal advisors. </w:t>
        <w:br/>
      </w:r>
    </w:p>
    <w:p>
      <w:pPr>
        <w:pStyle w:val="Normal"/>
        <w:numPr>
          <w:ilvl w:val="0"/>
          <w:numId w:val="1"/>
        </w:numPr>
        <w:tabs>
          <w:tab w:val="left" w:pos="720" w:leader="none"/>
        </w:tabs>
        <w:outlineLvl w:val="0"/>
        <w:rPr/>
      </w:pPr>
      <w:r>
        <w:rPr/>
        <w:t xml:space="preserve">YOU MAY NOT COPY, REPRODUCE, RECOMPILE, DECOMPILE, DISASSEMBLE, REVERSE ENGINEER, DISTRIBUTE, PUBLISH, DISPLAY, PERFORM, MODIFY, UPLOAD TO, CREATE DERIVATIVE WORKS FROM, TRANSMIT OR IN ANY WAY EXPLOIT ALL OR ANY PART OF THE WEBSITE, EXCEPT AS EXPRESSLY PROVIDED IN THIS LEGAL AND PRIVACY STATEMENT. THE CONTENTS OF THE WEBSITE MAY NOT BE RECIRCULATED, REDISTRIBUTED OR PUBLISHED BY YOU WITHOUT ENRON'S PRIOR WRITTEN CONSENT. MODIFICATION OF THE WEBSITE CONTENT WOULD BE A VIOLATION OF ENRON'S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ENRON. YOU MAY NOT USE ANY OF ENRON'S TRADEMARKS, TRADE NAMES OR SERVICE MARKS IN A MANNER THAT SUGGESTS THAT SUCH NAMES AND MARKS BELONG TO OR ARE ASSOCIATED WITH YOU OR ARE USED WITH ENRON'S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br/>
      </w:r>
    </w:p>
    <w:p>
      <w:pPr>
        <w:pStyle w:val="Normal"/>
        <w:numPr>
          <w:ilvl w:val="0"/>
          <w:numId w:val="1"/>
        </w:numPr>
        <w:tabs>
          <w:tab w:val="left" w:pos="720" w:leader="none"/>
        </w:tabs>
        <w:outlineLvl w:val="0"/>
        <w:rPr/>
      </w:pPr>
      <w:r>
        <w:rPr/>
        <w:t xml:space="preserve">This website may provide links to certain websites sponsored and maintained by third parties. Such websites are publicly available and Enron is providing access to such websites through this website solely as a convenience to you. The content of other websites, services, goods or advertisements that may be linked to this website is not maintained or controlled by Enron, and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Moreover, Enron is in no way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 You understand and agree that you will use or rely on such websites solely at your own risk and that Enron does not grant to you any rights in respect of such websites. </w:t>
        <w:br/>
      </w:r>
    </w:p>
    <w:p>
      <w:pPr>
        <w:pStyle w:val="Normal"/>
        <w:numPr>
          <w:ilvl w:val="1"/>
          <w:numId w:val="2"/>
        </w:numPr>
        <w:tabs>
          <w:tab w:val="clear" w:pos="720"/>
          <w:tab w:val="left" w:pos="1440" w:leader="none"/>
        </w:tabs>
        <w:ind w:hanging="360" w:start="1440" w:end="0"/>
        <w:outlineLvl w:val="1"/>
        <w:rPr/>
      </w:pPr>
      <w:r>
        <w:rPr/>
      </w:r>
    </w:p>
    <w:p>
      <w:pPr>
        <w:pStyle w:val="Normal"/>
        <w:numPr>
          <w:ilvl w:val="0"/>
          <w:numId w:val="1"/>
        </w:numPr>
        <w:tabs>
          <w:tab w:val="left" w:pos="720" w:leader="none"/>
        </w:tabs>
        <w:outlineLvl w:val="0"/>
        <w:rPr/>
      </w:pPr>
      <w:r>
        <w:rPr/>
      </w:r>
    </w:p>
    <w:p>
      <w:pPr>
        <w:pStyle w:val="Normal"/>
        <w:numPr>
          <w:ilvl w:val="0"/>
          <w:numId w:val="1"/>
        </w:numPr>
        <w:tabs>
          <w:tab w:val="left" w:pos="720" w:leader="none"/>
        </w:tabs>
        <w:outlineLvl w:val="0"/>
        <w:rPr/>
      </w:pPr>
      <w:r>
        <w:rPr/>
      </w:r>
    </w:p>
    <w:p>
      <w:pPr>
        <w:pStyle w:val="Normal"/>
        <w:numPr>
          <w:ilvl w:val="0"/>
          <w:numId w:val="1"/>
        </w:numPr>
        <w:tabs>
          <w:tab w:val="left" w:pos="720" w:leader="none"/>
        </w:tabs>
        <w:outlineLvl w:val="0"/>
        <w:rPr/>
      </w:pPr>
      <w:r>
        <w:rPr/>
        <w:t xml:space="preserve">In the course of your use of this website, you may provide, or Enron may otherwise obtain, information about you, your customers or your or their business activities. By using this website, you expressly consent to Enron (1) using this information to assess the function and performance of this website, to assess the needs of its customers, to market Enron's or others’ products and services and for the other purposes set out in this paragraph 13,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its or others’ products and services to you. </w:t>
        <w:br/>
      </w:r>
    </w:p>
    <w:p>
      <w:pPr>
        <w:pStyle w:val="Normal"/>
        <w:numPr>
          <w:ilvl w:val="0"/>
          <w:numId w:val="1"/>
        </w:numPr>
        <w:tabs>
          <w:tab w:val="left" w:pos="720" w:leader="none"/>
        </w:tabs>
        <w:outlineLvl w:val="0"/>
        <w:rPr/>
      </w:pPr>
      <w:r>
        <w:rPr/>
        <w:t xml:space="preserve">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 </w:t>
        <w:br/>
      </w:r>
    </w:p>
    <w:p>
      <w:pPr>
        <w:pStyle w:val="Normal"/>
        <w:numPr>
          <w:ilvl w:val="0"/>
          <w:numId w:val="1"/>
        </w:numPr>
        <w:tabs>
          <w:tab w:val="left" w:pos="720" w:leader="none"/>
        </w:tabs>
        <w:outlineLvl w:val="0"/>
        <w:rPr/>
      </w:pPr>
      <w:r>
        <w:rPr/>
        <w:t xml:space="preserve">You agree, at your own expense, to indemnify, defend and hold harmless Enron and its employees, representatives, Suppliers and agents, against any claim, suit, action or other proceeding against Enron, its employees, representatives, Suppliers and agents,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this Legal and Privacy statement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 </w:t>
        <w:br/>
      </w:r>
    </w:p>
    <w:p>
      <w:pPr>
        <w:pStyle w:val="Normal"/>
        <w:numPr>
          <w:ilvl w:val="0"/>
          <w:numId w:val="1"/>
        </w:numPr>
        <w:tabs>
          <w:tab w:val="left" w:pos="720" w:leader="none"/>
        </w:tabs>
        <w:outlineLvl w:val="0"/>
        <w:rPr/>
      </w:pPr>
      <w:r>
        <w:rPr/>
        <w:t xml:space="preserve">If you are accessing this website from North America, South America or Japan, the terms of this Legal and Privacy statement shall be governed by the laws of the State of New York; if you are accessing this website from any other location, its terms shall be governed by English law. </w:t>
        <w:br/>
      </w:r>
    </w:p>
    <w:p>
      <w:pPr>
        <w:pStyle w:val="Normal"/>
        <w:numPr>
          <w:ilvl w:val="0"/>
          <w:numId w:val="1"/>
        </w:numPr>
        <w:tabs>
          <w:tab w:val="left" w:pos="720" w:leader="none"/>
        </w:tabs>
        <w:outlineLvl w:val="0"/>
        <w:rPr/>
      </w:pPr>
      <w:r>
        <w:rPr/>
        <w:t xml:space="preserve">Enron may from time to time provide direct access connections (such as a "T1" line or other means of direct access) to the website, as an alternative to internet access. Direct access connections might enable users to access the website more quickly than is currently possible through internet access. </w:t>
      </w:r>
    </w:p>
    <w:p>
      <w:pPr>
        <w:pStyle w:val="Normal"/>
        <w:rPr/>
      </w:pPr>
      <w:r>
        <w:rPr/>
        <w:t>©2001 Enron Corp. All rights reserved.</w:t>
        <w:b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lowerLetter"/>
      <w:lvlText w:val="%2."/>
      <w:lvlJc w:val="start"/>
      <w:pPr>
        <w:tabs>
          <w:tab w:val="num" w:pos="0"/>
        </w:tabs>
        <w:ind w:start="0" w:hanging="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images/marketing/clear.gif" TargetMode="External"/><Relationship Id="rId3" Type="http://schemas.openxmlformats.org/officeDocument/2006/relationships/image" Target="file:///images/marketing/headline_line_pixel.gif" TargetMode="External"/><Relationship Id="rId4" Type="http://schemas.openxmlformats.org/officeDocument/2006/relationships/image" Target="file:///images/marketing/clear.gif"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2001-02-23T17:52:00Z</dcterms:created>
  <dc:creator>Jason Althaus x33545</dc:creator>
  <dc:description/>
  <dc:language>en-CA</dc:language>
  <cp:lastModifiedBy>mgreenbe</cp:lastModifiedBy>
  <dcterms:modified xsi:type="dcterms:W3CDTF">2001-02-23T17:54:00Z</dcterms:modified>
  <cp:revision>4</cp:revision>
  <dc:subject/>
  <dc:title/>
</cp:coreProperties>
</file>