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i/>
          <w:sz w:val="22"/>
          <w:u w:val="single"/>
        </w:rPr>
        <w:t>Contact Information</w:t>
      </w:r>
      <w:r>
        <w:rPr>
          <w:b/>
          <w:sz w:val="22"/>
          <w:u w:val="single"/>
        </w:rPr>
        <w:t xml:space="preserve"> :</w:t>
      </w:r>
      <w:r>
        <w:rPr>
          <w:sz w:val="22"/>
        </w:rPr>
        <w:t xml:space="preserve"> </w:t>
        <w:tab/>
      </w:r>
      <w:r>
        <w:rPr>
          <w:i/>
          <w:sz w:val="22"/>
        </w:rPr>
        <w:t>Craig Jefferies</w:t>
      </w:r>
    </w:p>
    <w:p>
      <w:pPr>
        <w:pStyle w:val="Normal"/>
        <w:rPr/>
      </w:pPr>
      <w:r>
        <w:rPr>
          <w:sz w:val="22"/>
        </w:rPr>
        <w:tab/>
        <w:tab/>
        <w:tab/>
      </w:r>
      <w:hyperlink r:id="rId2">
        <w:r>
          <w:rPr>
            <w:rStyle w:val="Hyperlink"/>
            <w:sz w:val="22"/>
          </w:rPr>
          <w:t>CKBENERGY@AOL.COM</w:t>
        </w:r>
      </w:hyperlink>
      <w:r>
        <w:rPr>
          <w:sz w:val="22"/>
        </w:rPr>
        <w:tab/>
        <w:tab/>
        <w:tab/>
      </w:r>
    </w:p>
    <w:p>
      <w:pPr>
        <w:pStyle w:val="Normal"/>
        <w:rPr>
          <w:sz w:val="22"/>
        </w:rPr>
      </w:pPr>
      <w:r>
        <w:rPr>
          <w:sz w:val="22"/>
        </w:rPr>
        <w:tab/>
        <w:tab/>
        <w:tab/>
        <w:t>A Division of CKB, Incorporated</w:t>
      </w:r>
    </w:p>
    <w:p>
      <w:pPr>
        <w:pStyle w:val="Heading"/>
        <w:ind w:firstLine="720" w:start="1440" w:end="0"/>
        <w:jc w:val="start"/>
        <w:rPr>
          <w:b w:val="false"/>
          <w:i/>
          <w:i/>
          <w:sz w:val="22"/>
        </w:rPr>
      </w:pPr>
      <w:r>
        <w:rPr>
          <w:b w:val="false"/>
          <w:i/>
          <w:sz w:val="22"/>
        </w:rPr>
        <w:t>Cell Phone - (917) 445 – 1189</w:t>
      </w:r>
    </w:p>
    <w:p>
      <w:pPr>
        <w:pStyle w:val="Heading2"/>
        <w:ind w:hanging="0" w:start="0"/>
        <w:jc w:val="start"/>
        <w:rPr>
          <w:b w:val="false"/>
          <w:i/>
          <w:i/>
          <w:sz w:val="22"/>
        </w:rPr>
      </w:pPr>
      <w:r>
        <w:rPr>
          <w:b w:val="false"/>
          <w:i/>
          <w:sz w:val="22"/>
        </w:rPr>
      </w:r>
    </w:p>
    <w:p>
      <w:pPr>
        <w:pStyle w:val="SectionTitle"/>
        <w:rPr>
          <w:rFonts w:ascii="CG Times (W1);Times New Roman" w:hAnsi="CG Times (W1);Times New Roman" w:cs="CG Times (W1);Times New Roman"/>
          <w:b/>
        </w:rPr>
      </w:pPr>
      <w:r>
        <w:rPr>
          <w:rFonts w:cs="CG Times (W1);Times New Roman" w:ascii="CG Times (W1);Times New Roman" w:hAnsi="CG Times (W1);Times New Roman"/>
          <w:b/>
        </w:rPr>
        <w:t>Professional Experience</w:t>
      </w:r>
    </w:p>
    <w:p>
      <w:pPr>
        <w:pStyle w:val="SectionTitle"/>
        <w:rPr>
          <w:rFonts w:ascii="CG Times (W1);Times New Roman" w:hAnsi="CG Times (W1);Times New Roman" w:cs="CG Times (W1);Times New Roman"/>
          <w:b/>
          <w:u w:val="single"/>
        </w:rPr>
      </w:pPr>
      <w:r>
        <w:rPr>
          <w:rFonts w:cs="CG Times (W1);Times New Roman" w:ascii="CG Times (W1);Times New Roman" w:hAnsi="CG Times (W1);Times New Roman"/>
          <w:b/>
          <w:u w:val="single"/>
        </w:rPr>
      </w:r>
    </w:p>
    <w:p>
      <w:pPr>
        <w:pStyle w:val="Institution"/>
        <w:ind w:hanging="720" w:start="-720" w:end="90"/>
        <w:rPr>
          <w:rFonts w:ascii="CG Times" w:hAnsi="CG Times" w:cs="CG Times"/>
        </w:rPr>
      </w:pPr>
      <w:r>
        <w:rPr>
          <w:rFonts w:cs="CG Times" w:ascii="CG Times" w:hAnsi="CG Times"/>
        </w:rPr>
        <w:t>Dynegy Marketing and Trade/Dynegy Power Marketing, Inc.</w:t>
        <w:tab/>
        <w:tab/>
        <w:t xml:space="preserve">            March 1994 – Present  </w:t>
      </w:r>
    </w:p>
    <w:p>
      <w:pPr>
        <w:pStyle w:val="Institution"/>
        <w:ind w:hanging="720" w:start="-720" w:end="90"/>
        <w:rPr>
          <w:rFonts w:ascii="CG Times" w:hAnsi="CG Times" w:cs="CG Times"/>
        </w:rPr>
      </w:pPr>
      <w:r>
        <w:rPr>
          <w:rFonts w:eastAsia="CG Times" w:cs="CG Times" w:ascii="CG Times" w:hAnsi="CG Times"/>
        </w:rPr>
        <w:t xml:space="preserve">           </w:t>
      </w:r>
      <w:r>
        <w:rPr>
          <w:rFonts w:cs="CG Times" w:ascii="CG Times" w:hAnsi="CG Times"/>
        </w:rPr>
        <w:t>-  Vice President and Assistant General Counsel</w:t>
        <w:tab/>
      </w:r>
    </w:p>
    <w:p>
      <w:pPr>
        <w:pStyle w:val="Institution"/>
        <w:ind w:hanging="720" w:start="-720" w:end="90"/>
        <w:rPr>
          <w:rFonts w:ascii="CG Times" w:hAnsi="CG Times" w:cs="CG Times"/>
        </w:rPr>
      </w:pPr>
      <w:r>
        <w:rPr>
          <w:rFonts w:cs="CG Times" w:ascii="CG Times" w:hAnsi="CG Times"/>
        </w:rPr>
      </w:r>
    </w:p>
    <w:p>
      <w:pPr>
        <w:pStyle w:val="Achievement"/>
        <w:ind w:start="-720" w:end="810"/>
        <w:rPr>
          <w:caps w:val="false"/>
          <w:smallCaps w:val="false"/>
        </w:rPr>
      </w:pPr>
      <w:r>
        <w:rPr>
          <w:caps w:val="false"/>
          <w:smallCaps w:val="false"/>
        </w:rPr>
        <w:t>Responsible for handling legal issues arising out of power marketing business of Dynegy Power Marketing, Inc. (solely responsible for handling DPMI legal issues from its inception in March of 1994 through July of 1997) and natural gas marketing business of Dynegy Marketing and Trade.</w:t>
      </w:r>
    </w:p>
    <w:p>
      <w:pPr>
        <w:pStyle w:val="Achievement"/>
        <w:ind w:start="-720" w:end="810"/>
        <w:rPr>
          <w:caps w:val="false"/>
          <w:smallCaps w:val="false"/>
        </w:rPr>
      </w:pPr>
      <w:r>
        <w:rPr>
          <w:caps w:val="false"/>
          <w:smallCaps w:val="false"/>
        </w:rPr>
        <w:t xml:space="preserve">Responsibilities include drafting, negotiating, and reviewing:  power trading agreements; long term, asset-backed power purchase and sales agreements; gas/power tolling agreements; energy management agreements providing for multi-commodity fuel supply and marketing of power output; documentation of on-line trading platforms pertaining to trading of power and natural gas products and power and natural gas-based financial derivatives; natural gas asset management agreements; long term natural gas purchase and sales agreements; power and natural gas-based financial derivatives; natural gas trading agreements; and ancillary credit support agreements.  </w:t>
      </w:r>
    </w:p>
    <w:p>
      <w:pPr>
        <w:pStyle w:val="Achievement"/>
        <w:ind w:start="-720" w:end="810"/>
        <w:rPr>
          <w:caps w:val="false"/>
          <w:smallCaps w:val="false"/>
        </w:rPr>
      </w:pPr>
      <w:r>
        <w:rPr>
          <w:caps w:val="false"/>
          <w:smallCaps w:val="false"/>
        </w:rPr>
        <w:t>Recently took lead role in negotiating multi-billion dollar, long term, asset-backed power sales agreement with California Department of Water Resources in connection with California’s energy crisis.</w:t>
      </w:r>
    </w:p>
    <w:p>
      <w:pPr>
        <w:pStyle w:val="Achievement"/>
        <w:ind w:start="-720" w:end="810"/>
        <w:rPr>
          <w:caps w:val="false"/>
          <w:smallCaps w:val="false"/>
        </w:rPr>
      </w:pPr>
      <w:r>
        <w:rPr>
          <w:caps w:val="false"/>
          <w:smallCaps w:val="false"/>
        </w:rPr>
        <w:t xml:space="preserve">Actively involved in drafting of the Edison Electric Institute Master Power Purchase and Sales Agreement and redrafting of the Western Systems Power Pool Agreement, which are two of the most heavily used power trading agreements in the United States.  </w:t>
      </w:r>
    </w:p>
    <w:p>
      <w:pPr>
        <w:pStyle w:val="Achievement"/>
        <w:ind w:start="-720" w:end="810"/>
        <w:rPr>
          <w:caps w:val="false"/>
          <w:smallCaps w:val="false"/>
        </w:rPr>
      </w:pPr>
      <w:r>
        <w:rPr>
          <w:caps w:val="false"/>
          <w:smallCaps w:val="false"/>
        </w:rPr>
        <w:t>Experience also includes acquisition and divestiture of interests in natural gas  marketing companies; negotiating and monitoring participation in a limited partnership that purchased and sold power generating assets; reviewing material agreements relating to power and natural gas marketing in connection with potential acquisitions; and litigation management pertaining to contractual disputes, collection matters and bankruptcy.</w:t>
      </w:r>
    </w:p>
    <w:p>
      <w:pPr>
        <w:pStyle w:val="Institution"/>
        <w:spacing w:lineRule="auto" w:line="240"/>
        <w:ind w:start="-1440" w:end="86"/>
        <w:rPr>
          <w:rFonts w:ascii="CG Times (W1);Times New Roman" w:hAnsi="CG Times (W1);Times New Roman" w:cs="CG Times (W1);Times New Roman"/>
          <w:sz w:val="24"/>
        </w:rPr>
      </w:pPr>
      <w:r>
        <w:rPr>
          <w:rFonts w:cs="CG Times (W1);Times New Roman" w:ascii="CG Times (W1);Times New Roman" w:hAnsi="CG Times (W1);Times New Roman"/>
          <w:sz w:val="24"/>
        </w:rPr>
        <w:t>Vinson &amp; Elkins L.L.P.</w:t>
        <w:tab/>
        <w:t xml:space="preserve">      </w:t>
        <w:tab/>
        <w:tab/>
        <w:tab/>
        <w:tab/>
        <w:tab/>
        <w:t xml:space="preserve">        October 1989 - February 1994</w:t>
        <w:tab/>
      </w:r>
    </w:p>
    <w:p>
      <w:pPr>
        <w:pStyle w:val="Institution"/>
        <w:numPr>
          <w:ilvl w:val="0"/>
          <w:numId w:val="2"/>
        </w:numPr>
        <w:spacing w:lineRule="auto" w:line="240"/>
        <w:ind w:hanging="360" w:start="360" w:end="0"/>
        <w:rPr>
          <w:rFonts w:ascii="CG Times (W1);Times New Roman" w:hAnsi="CG Times (W1);Times New Roman" w:cs="CG Times (W1);Times New Roman"/>
          <w:sz w:val="24"/>
        </w:rPr>
      </w:pPr>
      <w:r>
        <w:rPr>
          <w:rFonts w:cs="CG Times (W1);Times New Roman" w:ascii="CG Times (W1);Times New Roman" w:hAnsi="CG Times (W1);Times New Roman"/>
          <w:sz w:val="24"/>
        </w:rPr>
        <w:t>Associate, Energy Section</w:t>
      </w:r>
    </w:p>
    <w:p>
      <w:pPr>
        <w:pStyle w:val="Achievement"/>
        <w:ind w:start="-720" w:end="810"/>
        <w:rPr>
          <w:rFonts w:ascii="CG Times (W1);Times New Roman" w:hAnsi="CG Times (W1);Times New Roman" w:cs="CG Times (W1);Times New Roman"/>
          <w:caps w:val="false"/>
          <w:smallCaps w:val="false"/>
          <w:sz w:val="24"/>
          <w:u w:val="single"/>
        </w:rPr>
      </w:pPr>
      <w:r>
        <w:rPr>
          <w:rFonts w:cs="CG Times (W1);Times New Roman"/>
          <w:caps w:val="false"/>
          <w:smallCaps w:val="false"/>
          <w:sz w:val="24"/>
          <w:u w:val="single"/>
        </w:rPr>
      </w:r>
    </w:p>
    <w:p>
      <w:pPr>
        <w:pStyle w:val="Achievement"/>
        <w:ind w:start="-720" w:end="810"/>
        <w:rPr/>
      </w:pPr>
      <w:r>
        <w:rPr>
          <w:caps w:val="false"/>
          <w:smallCaps w:val="false"/>
          <w:u w:val="single"/>
        </w:rPr>
        <w:t>Energy Transactions and Regulatory Litigation</w:t>
      </w:r>
      <w:r>
        <w:rPr>
          <w:caps w:val="false"/>
          <w:smallCaps w:val="false"/>
        </w:rPr>
        <w:t>:  Represented a variety of clients in the natural gas industry in connection with issues involving the FERC, including pipelines, exploration and production companies and financial institutions.  Extensive experience with the deregulation of the natural gas industry promulgated by FERC Order No. 636.</w:t>
      </w:r>
    </w:p>
    <w:p>
      <w:pPr>
        <w:pStyle w:val="SectionTitle"/>
        <w:rPr>
          <w:rFonts w:ascii="CG Times (W1);Times New Roman" w:hAnsi="CG Times (W1);Times New Roman" w:cs="CG Times (W1);Times New Roman"/>
          <w:b/>
          <w:caps w:val="false"/>
          <w:smallCaps w:val="false"/>
        </w:rPr>
      </w:pPr>
      <w:r>
        <w:rPr>
          <w:rFonts w:cs="CG Times (W1);Times New Roman" w:ascii="CG Times (W1);Times New Roman" w:hAnsi="CG Times (W1);Times New Roman"/>
          <w:b/>
          <w:caps w:val="false"/>
          <w:smallCaps w:val="false"/>
        </w:rPr>
        <w:t>Education</w:t>
      </w:r>
    </w:p>
    <w:p>
      <w:pPr>
        <w:pStyle w:val="Institution"/>
        <w:ind w:start="-1440" w:end="810"/>
        <w:rPr/>
      </w:pPr>
      <w:r>
        <w:rPr>
          <w:rFonts w:cs="CG Times (W1);Times New Roman" w:ascii="CG Times (W1);Times New Roman" w:hAnsi="CG Times (W1);Times New Roman"/>
          <w:sz w:val="24"/>
        </w:rPr>
        <w:t>University of Texas School of Law,</w:t>
      </w:r>
      <w:r>
        <w:rPr/>
        <w:t xml:space="preserve">  </w:t>
      </w:r>
      <w:r>
        <w:rPr>
          <w:rFonts w:cs="CG Times (W1);Times New Roman" w:ascii="CG Times (W1);Times New Roman" w:hAnsi="CG Times (W1);Times New Roman"/>
          <w:b w:val="false"/>
          <w:sz w:val="24"/>
        </w:rPr>
        <w:t xml:space="preserve">Doctor of Jurisprudence                                               </w:t>
        <w:tab/>
      </w:r>
      <w:r>
        <w:rPr>
          <w:rFonts w:cs="CG Times (W1);Times New Roman" w:ascii="CG Times (W1);Times New Roman" w:hAnsi="CG Times (W1);Times New Roman"/>
          <w:sz w:val="24"/>
        </w:rPr>
        <w:t xml:space="preserve">1989  </w:t>
      </w:r>
    </w:p>
    <w:p>
      <w:pPr>
        <w:pStyle w:val="Institution"/>
        <w:ind w:start="-1440" w:end="810"/>
        <w:rPr/>
      </w:pPr>
      <w:r>
        <w:rPr>
          <w:rFonts w:cs="CG Times (W1);Times New Roman" w:ascii="CG Times (W1);Times New Roman" w:hAnsi="CG Times (W1);Times New Roman"/>
          <w:sz w:val="24"/>
        </w:rPr>
        <w:t xml:space="preserve">Vanderbilt University, </w:t>
      </w:r>
      <w:r>
        <w:rPr>
          <w:rFonts w:cs="CG Times (W1);Times New Roman" w:ascii="CG Times (W1);Times New Roman" w:hAnsi="CG Times (W1);Times New Roman"/>
          <w:b w:val="false"/>
          <w:sz w:val="24"/>
        </w:rPr>
        <w:t>Bachelor of Arts</w:t>
        <w:tab/>
        <w:tab/>
        <w:tab/>
        <w:tab/>
        <w:tab/>
        <w:tab/>
        <w:tab/>
        <w:t xml:space="preserve">            </w:t>
      </w:r>
      <w:r>
        <w:rPr>
          <w:rFonts w:cs="CG Times (W1);Times New Roman" w:ascii="CG Times (W1);Times New Roman" w:hAnsi="CG Times (W1);Times New Roman"/>
          <w:sz w:val="24"/>
        </w:rPr>
        <w:t>1986</w:t>
        <w:tab/>
        <w:tab/>
      </w:r>
      <w:r>
        <w:rPr>
          <w:rFonts w:cs="CG Times (W1);Times New Roman" w:ascii="CG Times (W1);Times New Roman" w:hAnsi="CG Times (W1);Times New Roman"/>
          <w:b w:val="false"/>
          <w:sz w:val="24"/>
          <w:u w:val="single"/>
        </w:rPr>
        <w:t>Major</w:t>
      </w:r>
      <w:r>
        <w:rPr>
          <w:rFonts w:cs="CG Times (W1);Times New Roman" w:ascii="CG Times (W1);Times New Roman" w:hAnsi="CG Times (W1);Times New Roman"/>
          <w:b w:val="false"/>
          <w:sz w:val="24"/>
        </w:rPr>
        <w:t xml:space="preserve">: History; </w:t>
      </w:r>
      <w:r>
        <w:rPr>
          <w:rFonts w:cs="CG Times (W1);Times New Roman" w:ascii="CG Times (W1);Times New Roman" w:hAnsi="CG Times (W1);Times New Roman"/>
          <w:b w:val="false"/>
          <w:sz w:val="24"/>
          <w:u w:val="single"/>
        </w:rPr>
        <w:t>Minor</w:t>
      </w:r>
      <w:r>
        <w:rPr>
          <w:rFonts w:cs="CG Times (W1);Times New Roman" w:ascii="CG Times (W1);Times New Roman" w:hAnsi="CG Times (W1);Times New Roman"/>
          <w:b w:val="false"/>
          <w:sz w:val="24"/>
        </w:rPr>
        <w:t>: Economics</w:t>
      </w:r>
      <w:r>
        <w:rPr>
          <w:rFonts w:cs="CG Times (W1);Times New Roman" w:ascii="CG Times (W1);Times New Roman" w:hAnsi="CG Times (W1);Times New Roman"/>
          <w:sz w:val="24"/>
        </w:rPr>
        <w:tab/>
        <w:tab/>
      </w:r>
      <w:r>
        <w:rPr>
          <w:rFonts w:cs="CG Times (W1);Times New Roman" w:ascii="CG Times (W1);Times New Roman" w:hAnsi="CG Times (W1);Times New Roman"/>
          <w:b w:val="false"/>
          <w:sz w:val="24"/>
        </w:rPr>
        <w:tab/>
      </w:r>
      <w:r>
        <w:rPr/>
        <w:t xml:space="preserve">         </w:t>
      </w:r>
    </w:p>
    <w:p>
      <w:pPr>
        <w:pStyle w:val="SectionTitle"/>
        <w:rPr>
          <w:rFonts w:ascii="CG Times (W1);Times New Roman" w:hAnsi="CG Times (W1);Times New Roman" w:cs="CG Times (W1);Times New Roman"/>
          <w:b/>
          <w:caps w:val="false"/>
          <w:smallCaps w:val="false"/>
        </w:rPr>
      </w:pPr>
      <w:r>
        <w:rPr>
          <w:rFonts w:cs="CG Times (W1);Times New Roman" w:ascii="CG Times (W1);Times New Roman" w:hAnsi="CG Times (W1);Times New Roman"/>
          <w:b/>
          <w:caps w:val="false"/>
          <w:smallCaps w:val="false"/>
        </w:rPr>
        <w:t>Other Activities</w:t>
      </w:r>
    </w:p>
    <w:p>
      <w:pPr>
        <w:pStyle w:val="Institution"/>
        <w:rPr/>
      </w:pPr>
      <w:r>
        <w:rPr>
          <w:b w:val="false"/>
          <w:smallCaps/>
        </w:rPr>
        <w:tab/>
      </w:r>
      <w:r>
        <w:rPr>
          <w:rFonts w:cs="Times New Roman" w:ascii="Times New Roman" w:hAnsi="Times New Roman"/>
        </w:rPr>
        <w:t xml:space="preserve">Chairman, </w:t>
      </w:r>
      <w:r>
        <w:rPr>
          <w:rFonts w:cs="Times New Roman" w:ascii="Times New Roman" w:hAnsi="Times New Roman"/>
          <w:b w:val="false"/>
        </w:rPr>
        <w:t>ABA Section of Environment, Energy and Resources Committee on Electric and Gas Marketing</w:t>
      </w:r>
    </w:p>
    <w:p>
      <w:pPr>
        <w:pStyle w:val="Institution"/>
        <w:rPr/>
      </w:pPr>
      <w:r>
        <w:rPr>
          <w:rFonts w:cs="Times New Roman" w:ascii="Times New Roman" w:hAnsi="Times New Roman"/>
        </w:rPr>
        <w:tab/>
        <w:t xml:space="preserve">Fellow, </w:t>
      </w:r>
      <w:r>
        <w:rPr>
          <w:rFonts w:cs="Times New Roman" w:ascii="Times New Roman" w:hAnsi="Times New Roman"/>
          <w:b w:val="false"/>
        </w:rPr>
        <w:t>Houston Bar Foundation</w:t>
      </w:r>
    </w:p>
    <w:p>
      <w:pPr>
        <w:pStyle w:val="Institution"/>
        <w:rPr/>
      </w:pPr>
      <w:r>
        <w:rPr>
          <w:rFonts w:cs="Times New Roman" w:ascii="Times New Roman" w:hAnsi="Times New Roman"/>
        </w:rPr>
        <w:tab/>
        <w:t>Member,</w:t>
      </w:r>
      <w:r>
        <w:rPr>
          <w:rFonts w:cs="Times New Roman" w:ascii="Times New Roman" w:hAnsi="Times New Roman"/>
          <w:b w:val="false"/>
        </w:rPr>
        <w:t xml:space="preserve"> Energy Bar Association</w:t>
      </w:r>
    </w:p>
    <w:p>
      <w:pPr>
        <w:pStyle w:val="Institution"/>
        <w:rPr/>
      </w:pPr>
      <w:r>
        <w:rPr>
          <w:rFonts w:cs="Times New Roman" w:ascii="Times New Roman" w:hAnsi="Times New Roman"/>
        </w:rPr>
        <w:tab/>
        <w:t>Member,</w:t>
      </w:r>
      <w:r>
        <w:rPr>
          <w:rFonts w:cs="Times New Roman" w:ascii="Times New Roman" w:hAnsi="Times New Roman"/>
          <w:b w:val="false"/>
        </w:rPr>
        <w:t xml:space="preserve"> State Bar of Texas</w:t>
      </w:r>
    </w:p>
    <w:p>
      <w:pPr>
        <w:pStyle w:val="Institution"/>
        <w:rPr>
          <w:rFonts w:ascii="Times New Roman" w:hAnsi="Times New Roman" w:cs="Times New Roman"/>
          <w:b w:val="false"/>
          <w:smallCaps/>
        </w:rPr>
      </w:pPr>
      <w:r>
        <w:rPr>
          <w:rFonts w:cs="Times New Roman" w:ascii="Times New Roman" w:hAnsi="Times New Roman"/>
        </w:rPr>
        <w:t xml:space="preserve"> </w:t>
      </w:r>
    </w:p>
    <w:p>
      <w:pPr>
        <w:pStyle w:val="Normal"/>
        <w:rPr>
          <w:rFonts w:ascii="Times New Roman" w:hAnsi="Times New Roman" w:cs="Times New Roman"/>
          <w:b/>
          <w:smallCaps/>
        </w:rPr>
      </w:pPr>
      <w:r>
        <w:rPr>
          <w:rFonts w:cs="Times New Roman"/>
          <w:b/>
          <w:smallCaps/>
        </w:rPr>
      </w:r>
    </w:p>
    <w:sectPr>
      <w:type w:val="nextPage"/>
      <w:pgSz w:w="12240" w:h="15840"/>
      <w:pgMar w:left="2070" w:right="720" w:gutter="0" w:header="0" w:top="810" w:footer="0" w:bottom="9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G Times">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ind w:start="36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tabs>
        <w:tab w:val="clear" w:pos="720"/>
        <w:tab w:val="left" w:pos="5400" w:leader="none"/>
      </w:tabs>
      <w:jc w:val="center"/>
      <w:outlineLvl w:val="1"/>
    </w:pPr>
    <w:rPr>
      <w:b/>
      <w:sz w:val="3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outlineLvl w:val="0"/>
    </w:pPr>
    <w:rPr>
      <w:b/>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chievement">
    <w:name w:val="Achievement"/>
    <w:basedOn w:val="BodyText"/>
    <w:qFormat/>
    <w:pPr>
      <w:jc w:val="both"/>
    </w:pPr>
    <w:rPr>
      <w:rFonts w:ascii="CG Times (W1);Times New Roman" w:hAnsi="CG Times (W1);Times New Roman" w:cs="CG Times (W1);Times New Roman"/>
      <w:smallCaps/>
      <w:spacing w:val="20"/>
      <w:sz w:val="22"/>
    </w:rPr>
  </w:style>
  <w:style w:type="paragraph" w:styleId="Address">
    <w:name w:val="Address"/>
    <w:basedOn w:val="BodyText"/>
    <w:qFormat/>
    <w:pPr>
      <w:keepLines/>
      <w:spacing w:before="0" w:after="0"/>
      <w:ind w:hanging="0" w:start="-1800" w:end="1080"/>
      <w:jc w:val="center"/>
    </w:pPr>
    <w:rPr>
      <w:rFonts w:ascii="Arial" w:hAnsi="Arial" w:cs="Arial"/>
      <w:i/>
      <w:sz w:val="22"/>
    </w:rPr>
  </w:style>
  <w:style w:type="paragraph" w:styleId="Institution">
    <w:name w:val="Institution"/>
    <w:basedOn w:val="BodyText"/>
    <w:qFormat/>
    <w:pPr>
      <w:keepNext w:val="true"/>
      <w:spacing w:lineRule="exact" w:line="260" w:before="120" w:after="0"/>
      <w:ind w:hanging="0" w:start="-1800" w:end="1080"/>
    </w:pPr>
    <w:rPr>
      <w:rFonts w:ascii="Arial" w:hAnsi="Arial" w:cs="Arial"/>
      <w:b/>
      <w:sz w:val="22"/>
    </w:rPr>
  </w:style>
  <w:style w:type="paragraph" w:styleId="SectionTitle">
    <w:name w:val="Section Title"/>
    <w:basedOn w:val="Normal"/>
    <w:qFormat/>
    <w:pPr>
      <w:keepNext w:val="true"/>
      <w:keepLines/>
      <w:pBdr>
        <w:top w:val="single" w:sz="6" w:space="6" w:color="000000"/>
      </w:pBdr>
      <w:spacing w:lineRule="exact" w:line="260" w:before="120" w:after="120"/>
      <w:ind w:hanging="0" w:start="-1800" w:end="1080"/>
      <w:jc w:val="center"/>
    </w:pPr>
    <w:rPr>
      <w:rFonts w:ascii="Arial" w:hAnsi="Arial" w:cs="Arial"/>
      <w:smallCaps/>
      <w:spacing w:val="120"/>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CKBENERGY@AO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2001-03-07T21:00:00Z</dcterms:created>
  <dc:creator>SG</dc:creator>
  <dc:description/>
  <dc:language>en-CA</dc:language>
  <cp:lastModifiedBy>SG</cp:lastModifiedBy>
  <dcterms:modified xsi:type="dcterms:W3CDTF">2001-03-09T14:24:00Z</dcterms:modified>
  <cp:revision>3</cp:revision>
  <dc:subject/>
  <dc:title>Contact Information : </dc:title>
</cp:coreProperties>
</file>