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pPr>
      <w:r>
        <w:rPr/>
      </w:r>
    </w:p>
    <w:tbl>
      <w:tblPr>
        <w:tblW w:w="10708" w:type="dxa"/>
        <w:jc w:val="start"/>
        <w:tblInd w:w="202" w:type="dxa"/>
        <w:tblLayout w:type="fixed"/>
        <w:tblCellMar>
          <w:top w:w="0" w:type="dxa"/>
          <w:start w:w="108" w:type="dxa"/>
          <w:bottom w:w="0" w:type="dxa"/>
          <w:end w:w="108" w:type="dxa"/>
        </w:tblCellMar>
      </w:tblPr>
      <w:tblGrid>
        <w:gridCol w:w="708"/>
        <w:gridCol w:w="6045"/>
        <w:gridCol w:w="990"/>
        <w:gridCol w:w="2965"/>
      </w:tblGrid>
      <w:tr>
        <w:trPr/>
        <w:tc>
          <w:tcPr>
            <w:tcW w:w="708" w:type="dxa"/>
            <w:tcBorders/>
          </w:tcPr>
          <w:p>
            <w:pPr>
              <w:pStyle w:val="Normal"/>
              <w:ind w:start="-180" w:end="0"/>
              <w:jc w:val="end"/>
              <w:rPr>
                <w:sz w:val="16"/>
              </w:rPr>
            </w:pPr>
            <w:r>
              <w:rPr>
                <w:sz w:val="16"/>
              </w:rPr>
              <w:t>To:</w:t>
            </w:r>
          </w:p>
        </w:tc>
        <w:tc>
          <w:tcPr>
            <w:tcW w:w="6045" w:type="dxa"/>
            <w:tcBorders/>
          </w:tcPr>
          <w:p>
            <w:pPr>
              <w:pStyle w:val="To"/>
              <w:rPr/>
            </w:pPr>
            <w:r>
              <w:rPr/>
              <w:t>Eric Le Dain</w:t>
            </w:r>
          </w:p>
          <w:p>
            <w:pPr>
              <w:pStyle w:val="To"/>
              <w:rPr/>
            </w:pPr>
            <w:r>
              <w:rPr/>
              <w:t>Duncan Croasdale</w:t>
            </w:r>
          </w:p>
          <w:p>
            <w:pPr>
              <w:pStyle w:val="To"/>
              <w:rPr/>
            </w:pPr>
            <w:r>
              <w:rPr/>
              <w:t>Kate Chaney</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045" w:type="dxa"/>
            <w:tcBorders/>
          </w:tcPr>
          <w:p>
            <w:pPr>
              <w:pStyle w:val="From"/>
              <w:rPr/>
            </w:pPr>
            <w:r>
              <w:rPr/>
              <w:t>Greg Johnston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Law</w:t>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Review of and Comments With Respect to People’s Energy/Calumet Power Turbine Sales Contract</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ind w:start="90" w:end="0"/>
        <w:jc w:val="both"/>
        <w:rPr>
          <w:sz w:val="22"/>
        </w:rPr>
      </w:pPr>
      <w:r>
        <w:rPr>
          <w:sz w:val="22"/>
        </w:rPr>
      </w:r>
      <w:bookmarkStart w:id="1" w:name="StartOfMemo"/>
      <w:bookmarkStart w:id="2" w:name="StartOfMemo"/>
      <w:bookmarkEnd w:id="2"/>
    </w:p>
    <w:p>
      <w:pPr>
        <w:pStyle w:val="Body"/>
        <w:ind w:start="90" w:end="0"/>
        <w:jc w:val="both"/>
        <w:rPr>
          <w:sz w:val="22"/>
        </w:rPr>
      </w:pPr>
      <w:r>
        <w:rPr>
          <w:sz w:val="22"/>
        </w:rPr>
      </w:r>
    </w:p>
    <w:p>
      <w:pPr>
        <w:pStyle w:val="Body"/>
        <w:ind w:start="90" w:end="0"/>
        <w:jc w:val="both"/>
        <w:rPr>
          <w:sz w:val="22"/>
        </w:rPr>
      </w:pPr>
      <w:r>
        <w:rPr>
          <w:sz w:val="22"/>
        </w:rPr>
        <w:t>Further to your request, I have now had a chance to review the Sales Contract (the “Calumet Agreement”) between ABB, WestLB and Calumet dated February 24, 2000 with respect to the manufacture and sale of two GT11N2 units.  In performing this review, I have considered the Calumet Agreement as a stand-alone document and also in comparison to the Columbus-ABB Turbine Purchase Agreement (the “Columbus Agreement”).  My review of the Calumet Agreement has been based upon my understanding that we would proceed with an acquisition from Calumet in the same manner as we have structured our offer to Columbus, being an offer to acquire all of Calumet’s interest in the Calumet Agreement, with our taking an assignment of its role as agent thereunder.  One point that should be considered is that WestLB would remain as the “Purchaser” under the Calumet Agreement, thereby eliminating the requirement to deal with an assignment of the Purchaser thereunder as well.  We will need to confirm that Calumet and WestLB are currently in full compliance with all provisions under the Calumet Agreement, including that all Progress Payments required to be made to date have been made.</w:t>
      </w:r>
    </w:p>
    <w:p>
      <w:pPr>
        <w:pStyle w:val="Body"/>
        <w:ind w:start="90" w:end="0"/>
        <w:jc w:val="both"/>
        <w:rPr>
          <w:sz w:val="22"/>
        </w:rPr>
      </w:pPr>
      <w:r>
        <w:rPr>
          <w:sz w:val="22"/>
        </w:rPr>
      </w:r>
    </w:p>
    <w:p>
      <w:pPr>
        <w:pStyle w:val="Body"/>
        <w:ind w:start="90" w:end="0"/>
        <w:jc w:val="both"/>
        <w:rPr>
          <w:sz w:val="22"/>
        </w:rPr>
      </w:pPr>
      <w:r>
        <w:rPr>
          <w:sz w:val="22"/>
        </w:rPr>
        <w:t>With respect to my review, my first general comment is that it does not appear any of the commercial issues identified in the memos from Fred Mitro and Mike Miller dated February, 2000 have been addressed in the final executed form of the Calumet Agreement.  In addition, there are a number of other commercial issues which will need to be confirmed by yourselves as appropriate, including the existence and appropriateness of any Change Orders, the appropriateness of the Guarantees (such as the Emission Guarantee, Guaranteed Heat Rate, Guaranteed Normal Loading Gradient, Guaranteed Output and the Near Field Noise Guarantee), the Minimum Acceptable Output, the Maximum Acceptable Heat Rate, the Scheduled Substantial Completion Date, the choice of Site Manager, the various Delivery Dates, the Delivery Schedule, the selection of the Seller’s TFAs, the conditions set forth in Exhibit “B” necessary to satisfy all Performance Guarantees and the terms of the Performance Tests, along with various other commercial matters.</w:t>
      </w:r>
    </w:p>
    <w:p>
      <w:pPr>
        <w:pStyle w:val="Body"/>
        <w:ind w:start="90" w:end="0"/>
        <w:jc w:val="both"/>
        <w:rPr>
          <w:sz w:val="22"/>
        </w:rPr>
      </w:pPr>
      <w:r>
        <w:rPr>
          <w:sz w:val="22"/>
        </w:rPr>
      </w:r>
    </w:p>
    <w:p>
      <w:pPr>
        <w:pStyle w:val="Body"/>
        <w:ind w:start="90" w:end="0"/>
        <w:jc w:val="both"/>
        <w:rPr>
          <w:sz w:val="22"/>
        </w:rPr>
      </w:pPr>
      <w:r>
        <w:rPr>
          <w:sz w:val="22"/>
        </w:rPr>
        <w:t>Considering the above, the following set forth further comments, issues or concerns arising from my review of the Calumet Agreement:</w:t>
      </w:r>
    </w:p>
    <w:p>
      <w:pPr>
        <w:pStyle w:val="Body"/>
        <w:ind w:start="90" w:end="0"/>
        <w:jc w:val="both"/>
        <w:rPr>
          <w:sz w:val="22"/>
        </w:rPr>
      </w:pPr>
      <w:r>
        <w:rPr>
          <w:sz w:val="22"/>
        </w:rPr>
      </w:r>
    </w:p>
    <w:p>
      <w:pPr>
        <w:pStyle w:val="Body"/>
        <w:numPr>
          <w:ilvl w:val="0"/>
          <w:numId w:val="2"/>
        </w:numPr>
        <w:jc w:val="both"/>
        <w:rPr>
          <w:sz w:val="22"/>
        </w:rPr>
      </w:pPr>
      <w:r>
        <w:rPr>
          <w:sz w:val="22"/>
        </w:rPr>
        <w:t>We will need to confirm whether any Change Orders have been made or are outstanding and the effect of same;</w:t>
      </w:r>
    </w:p>
    <w:p>
      <w:pPr>
        <w:pStyle w:val="Body"/>
        <w:numPr>
          <w:ilvl w:val="0"/>
          <w:numId w:val="2"/>
        </w:numPr>
        <w:jc w:val="both"/>
        <w:rPr>
          <w:sz w:val="22"/>
        </w:rPr>
      </w:pPr>
      <w:r>
        <w:rPr>
          <w:sz w:val="22"/>
        </w:rPr>
        <w:t>Does the Contract Price of U.S. $56 million include the amounts set forth in Section 4.2(d) or are these amounts for additional services in addition to the Contract Price?  If it is the latter,  we will need to account for these additional costs in our offer;</w:t>
      </w:r>
    </w:p>
    <w:p>
      <w:pPr>
        <w:pStyle w:val="Body"/>
        <w:numPr>
          <w:ilvl w:val="0"/>
          <w:numId w:val="2"/>
        </w:numPr>
        <w:jc w:val="both"/>
        <w:rPr>
          <w:sz w:val="22"/>
        </w:rPr>
      </w:pPr>
      <w:r>
        <w:rPr>
          <w:sz w:val="22"/>
        </w:rPr>
        <w:t>Has Calumet appointed a Contractor and, if so, how do we proceed with changing such party to our chosen contractor, as such matter is not dealt with under the terms of the Calumet Agreement;</w:t>
      </w:r>
    </w:p>
    <w:p>
      <w:pPr>
        <w:pStyle w:val="Body"/>
        <w:numPr>
          <w:ilvl w:val="0"/>
          <w:numId w:val="2"/>
        </w:numPr>
        <w:jc w:val="both"/>
        <w:rPr>
          <w:sz w:val="22"/>
        </w:rPr>
      </w:pPr>
      <w:r>
        <w:rPr>
          <w:sz w:val="22"/>
        </w:rPr>
        <w:t>the definition of “Law” will need to be amended to include Canadian law, particularly so that when ABB agrees to comply with all applicable Laws in Article 9, Canadian laws are included;</w:t>
      </w:r>
    </w:p>
    <w:p>
      <w:pPr>
        <w:pStyle w:val="Body"/>
        <w:numPr>
          <w:ilvl w:val="0"/>
          <w:numId w:val="2"/>
        </w:numPr>
        <w:jc w:val="both"/>
        <w:rPr>
          <w:sz w:val="22"/>
        </w:rPr>
      </w:pPr>
      <w:r>
        <w:rPr>
          <w:sz w:val="22"/>
        </w:rPr>
        <w:t>The definition of “Purchaser’s Responsibilities” includes (as subparagraph (d)) the supply and performance of the equipment and services identified as to be supplied or performed by or on behalf of Purchaser in Exhibit “B”.  From my review of the portion of Exhibit “B” which I have (I have only received the first two sections of Exhibit “B”), there are certain exclusions from ABB’s supply and performance requirements set forth therein but no positive covenants on Purchaser that such excluded requirements are to be provided by Purchaser.  Therefore, I am unclear as to which equipment and services under Exhibit “B” Purchaser is required to supply and perform under this agreement;</w:t>
      </w:r>
    </w:p>
    <w:p>
      <w:pPr>
        <w:pStyle w:val="Body"/>
        <w:numPr>
          <w:ilvl w:val="0"/>
          <w:numId w:val="2"/>
        </w:numPr>
        <w:jc w:val="both"/>
        <w:rPr>
          <w:sz w:val="22"/>
        </w:rPr>
      </w:pPr>
      <w:r>
        <w:rPr>
          <w:sz w:val="22"/>
        </w:rPr>
        <w:t>In the definition of “Services”, subparagraph (iii) describes the maintenance of a Commissioning Manager.  “Commissioning Manager” is not defined and I have seen no other provisions in the Calumet Agreement that described the choosing of a Commissioning Manager or the duties thereof.  I am uncertain as to whether this is simply a bust in the agreement or whether the parties intend to appoint a Commissioning Manager, in which case we will need to know if one has been appointed, how we go about changing it, what its duties are and who is responsible for paying for it;</w:t>
      </w:r>
    </w:p>
    <w:p>
      <w:pPr>
        <w:pStyle w:val="Body"/>
        <w:numPr>
          <w:ilvl w:val="0"/>
          <w:numId w:val="2"/>
        </w:numPr>
        <w:jc w:val="both"/>
        <w:rPr>
          <w:sz w:val="22"/>
        </w:rPr>
      </w:pPr>
      <w:r>
        <w:rPr>
          <w:sz w:val="22"/>
        </w:rPr>
        <w:t>It should be noted that, in order to change the Site from the location in Chicago, a change order must be provided, which, as a result of the provisions relating to change orders, allows ABB to negotiate an increase in the purchase price of the turbines to account for increased costs relating to the change of Site;</w:t>
      </w:r>
    </w:p>
    <w:p>
      <w:pPr>
        <w:pStyle w:val="Body"/>
        <w:numPr>
          <w:ilvl w:val="0"/>
          <w:numId w:val="2"/>
        </w:numPr>
        <w:jc w:val="both"/>
        <w:rPr>
          <w:sz w:val="22"/>
        </w:rPr>
      </w:pPr>
      <w:r>
        <w:rPr>
          <w:sz w:val="22"/>
        </w:rPr>
        <w:t>Although Articles 2 and 3 address the timing of transfer of risk of loss, nowhere in the Calumet Agreement is the actual transfer of title to the Equipment addressed;</w:t>
      </w:r>
    </w:p>
    <w:p>
      <w:pPr>
        <w:pStyle w:val="Body"/>
        <w:numPr>
          <w:ilvl w:val="0"/>
          <w:numId w:val="2"/>
        </w:numPr>
        <w:jc w:val="both"/>
        <w:rPr>
          <w:sz w:val="22"/>
        </w:rPr>
      </w:pPr>
      <w:r>
        <w:rPr>
          <w:sz w:val="22"/>
        </w:rPr>
        <w:t>In Articles 2 and 3, delivery is deemed to occur at such time as the Equipment is delivered to the Delivery Point or placed into storage at Purchaser’s request.  This differs from the Columbus Agreement which indicates that delivery of the equipment occurs after the equipment has arrived at the Delivery Point (delivery into storage does not constitute delivery under the Columbus Agreement) with no apparent damage; provided that, if after unpacking, it is determined that the Equipment was damaged prior to Purchaser assuming risk of loss, delivery of such Equipment shall be deemed not to have occurred until undamaged or repaired equipment has been delivered to the Delivery Point.  The significance of this difference is that, if it is determined after unpacking the Equipment that such Equipment was damaged prior to delivery, under the Calumet Agreement presumably we would be into a warranty issue and, even more significantly, we would maintain the risk of loss and damage during the remedy stage and we would lose our rights to delay LDs whereas under the Columbus Agreement the risk of loss would be returned to ABB and delay LDs would continue to be applicable;</w:t>
      </w:r>
    </w:p>
    <w:p>
      <w:pPr>
        <w:pStyle w:val="Body"/>
        <w:numPr>
          <w:ilvl w:val="0"/>
          <w:numId w:val="2"/>
        </w:numPr>
        <w:jc w:val="both"/>
        <w:rPr>
          <w:sz w:val="22"/>
        </w:rPr>
      </w:pPr>
      <w:r>
        <w:rPr>
          <w:sz w:val="22"/>
        </w:rPr>
        <w:t xml:space="preserve">In the third paragraph of Section 2.1, dealing with Purchaser’s request to place the Equipment in storage, it is indicated that, when Purchaser is ready to receive the Equipment from storage, Seller shall arrange, </w:t>
      </w:r>
      <w:r>
        <w:rPr>
          <w:b/>
          <w:sz w:val="22"/>
        </w:rPr>
        <w:t>at Purchaser’s expense</w:t>
      </w:r>
      <w:r>
        <w:rPr>
          <w:sz w:val="22"/>
        </w:rPr>
        <w:t>, for removing the Equipment from storage and shipping it to Purchaser at the Site.  Since the obligation of Seller is to deliver the Equipment to the Delivery Point, it would seem more appropriate that delivery from the manufacturing sites to the Delivery Point would be for the Seller’s account, with any incremental costs associated with placing the Equipment in interim storage being for the Purchaser’s account.  That is the way storage is dealt with in the Columbus Agreement.  Along the same lines, delivery should not be deemed complete at the time of delivery into storage but only upon delivery of the Equipment to the Delivery Point (at Site);</w:t>
      </w:r>
    </w:p>
    <w:p>
      <w:pPr>
        <w:pStyle w:val="Body"/>
        <w:numPr>
          <w:ilvl w:val="0"/>
          <w:numId w:val="2"/>
        </w:numPr>
        <w:jc w:val="both"/>
        <w:rPr>
          <w:sz w:val="22"/>
        </w:rPr>
      </w:pPr>
      <w:r>
        <w:rPr>
          <w:sz w:val="22"/>
        </w:rPr>
        <w:t xml:space="preserve">In Section 2.2, the Seller is only required to ship the Equipment in containers suitable to </w:t>
      </w:r>
      <w:r>
        <w:rPr>
          <w:b/>
          <w:sz w:val="22"/>
        </w:rPr>
        <w:t>reasonably</w:t>
      </w:r>
      <w:r>
        <w:rPr>
          <w:sz w:val="22"/>
        </w:rPr>
        <w:t xml:space="preserve"> protect the Equipment from damage.  My only concern is that the “reasonable” qualification is intended or may be used by Seller to create some limit on its obligation to deliver the Equipment without damage;</w:t>
      </w:r>
    </w:p>
    <w:p>
      <w:pPr>
        <w:pStyle w:val="Body"/>
        <w:numPr>
          <w:ilvl w:val="0"/>
          <w:numId w:val="2"/>
        </w:numPr>
        <w:jc w:val="both"/>
        <w:rPr>
          <w:sz w:val="22"/>
        </w:rPr>
      </w:pPr>
      <w:r>
        <w:rPr>
          <w:sz w:val="22"/>
        </w:rPr>
        <w:t>In the last sentence of Section 4.2(a), reference is made to the “offer”.  I am not sure what constitutes the offer.  Is it just an incorrect reference to the Calumet Agreement or is there another document outstanding creating any additional rights and obligations?  I would suspect it is the former;</w:t>
      </w:r>
    </w:p>
    <w:p>
      <w:pPr>
        <w:pStyle w:val="Body"/>
        <w:numPr>
          <w:ilvl w:val="0"/>
          <w:numId w:val="2"/>
        </w:numPr>
        <w:jc w:val="both"/>
        <w:rPr>
          <w:sz w:val="22"/>
        </w:rPr>
      </w:pPr>
      <w:r>
        <w:rPr>
          <w:sz w:val="22"/>
        </w:rPr>
        <w:t>With respect to Section 4.3, it appears from Fred’s memo that the Takeover and Drawings LD Option has been exercised.  We should confirm this matter, determine what the payment of the additional $455,000 to exercise that option means for our overall purchase price and consider Exhibit “G” which describes the terms of that option, including the commercial acceptability of the LDs described therein;</w:t>
      </w:r>
    </w:p>
    <w:p>
      <w:pPr>
        <w:pStyle w:val="Body"/>
        <w:numPr>
          <w:ilvl w:val="0"/>
          <w:numId w:val="2"/>
        </w:numPr>
        <w:jc w:val="both"/>
        <w:rPr>
          <w:sz w:val="22"/>
        </w:rPr>
      </w:pPr>
      <w:r>
        <w:rPr>
          <w:sz w:val="22"/>
        </w:rPr>
        <w:t>We will need to consider the impact of importing the Equipment into Canada in relation to the obligations described in Section 6.  If the Delivery Point is changed to the Canadian site, it is arguable that delivery thereof constitutes “the performance of the Work by Seller” which may arguably leave Seller responsible for such duties and taxes.  I would suspect ABB would not agree to this interpretation;</w:t>
      </w:r>
    </w:p>
    <w:p>
      <w:pPr>
        <w:pStyle w:val="Body"/>
        <w:numPr>
          <w:ilvl w:val="0"/>
          <w:numId w:val="2"/>
        </w:numPr>
        <w:jc w:val="both"/>
        <w:rPr>
          <w:sz w:val="22"/>
        </w:rPr>
      </w:pPr>
      <w:r>
        <w:rPr>
          <w:sz w:val="22"/>
        </w:rPr>
        <w:t>Although I understand from Kate that Enron may have been involved in vetting the Calumet Agreement for the purposes of ensuring it will receive off-balance sheet treatment, I would think we will need to have Arthur Andersen vet the contract prior to our acquiring the interest therein.  One of the Articles which jumped out was Article 8 relating to Agent’s responsibility and liability with respect to hazardous materials, but I am sure there are others that will need to be reviewed;</w:t>
      </w:r>
    </w:p>
    <w:p>
      <w:pPr>
        <w:pStyle w:val="Body"/>
        <w:numPr>
          <w:ilvl w:val="0"/>
          <w:numId w:val="2"/>
        </w:numPr>
        <w:jc w:val="both"/>
        <w:rPr>
          <w:sz w:val="22"/>
        </w:rPr>
      </w:pPr>
      <w:r>
        <w:rPr>
          <w:sz w:val="22"/>
        </w:rPr>
        <w:t xml:space="preserve">In the first paragraph of Article 9, we will want to ensure that Seller is agreeing to comply with all Laws and Codes and Standards, including Canadian law as applicable.  In addition, we will want Seller to agree to comply, </w:t>
      </w:r>
      <w:r>
        <w:rPr>
          <w:b/>
          <w:sz w:val="22"/>
        </w:rPr>
        <w:t>and warrant</w:t>
      </w:r>
      <w:r>
        <w:rPr>
          <w:sz w:val="22"/>
        </w:rPr>
        <w:t xml:space="preserve"> compliance, with such Laws and Codes and Standards.  Columbus obtained such warranty from ABB in the Columbus Agreement. If we obtain a warranty as to compliance with all applicable Laws and Codes and Standards under Article 9, we will need to ensure that corresponding changes get made to Article 13(C) and (G) to include the warranty described in Article 9 in the provisions of Article 13;</w:t>
      </w:r>
    </w:p>
    <w:p>
      <w:pPr>
        <w:pStyle w:val="Body"/>
        <w:numPr>
          <w:ilvl w:val="0"/>
          <w:numId w:val="2"/>
        </w:numPr>
        <w:jc w:val="both"/>
        <w:rPr>
          <w:sz w:val="22"/>
        </w:rPr>
      </w:pPr>
      <w:r>
        <w:rPr>
          <w:sz w:val="22"/>
        </w:rPr>
        <w:t>Since we would be including Canadian laws in the application of Article 9, we may want to consider updating the February 1, 2000 effective date in the second paragraph thereof to a date contemporaneous with our taking the assignment of the Calumet Agreement;</w:t>
      </w:r>
    </w:p>
    <w:p>
      <w:pPr>
        <w:pStyle w:val="Body"/>
        <w:numPr>
          <w:ilvl w:val="0"/>
          <w:numId w:val="2"/>
        </w:numPr>
        <w:jc w:val="both"/>
        <w:rPr>
          <w:sz w:val="22"/>
        </w:rPr>
      </w:pPr>
      <w:r>
        <w:rPr>
          <w:sz w:val="22"/>
        </w:rPr>
        <w:t>Please note that, pursuant to the third paragraph of Article 9, Seller has denounced responsibility for compliance of the Equipment with Laws relative to air and noise emissions other than with respect to its obligations regarding the Performance Guarantees with respect thereto;</w:t>
      </w:r>
    </w:p>
    <w:p>
      <w:pPr>
        <w:pStyle w:val="Body"/>
        <w:numPr>
          <w:ilvl w:val="0"/>
          <w:numId w:val="2"/>
        </w:numPr>
        <w:jc w:val="both"/>
        <w:rPr>
          <w:sz w:val="22"/>
        </w:rPr>
      </w:pPr>
      <w:r>
        <w:rPr>
          <w:sz w:val="22"/>
        </w:rPr>
        <w:t>The force majeure provisions set forth in Article 11 are fairly similar to those set forth in the Columbus Agreement.  One deficiency is that there is no requirement on the claiming party to undertake all actions and use due diligence to eliminate the event of force majeure as soon as reasonably practicable;</w:t>
      </w:r>
    </w:p>
    <w:p>
      <w:pPr>
        <w:pStyle w:val="Body"/>
        <w:numPr>
          <w:ilvl w:val="0"/>
          <w:numId w:val="2"/>
        </w:numPr>
        <w:jc w:val="both"/>
        <w:rPr>
          <w:sz w:val="22"/>
        </w:rPr>
      </w:pPr>
      <w:r>
        <w:rPr>
          <w:sz w:val="22"/>
        </w:rPr>
        <w:t>In Article 12, it is indicated at the very end thereof that the remedy provided in such Article shall be Purchaser’s exclusive remedy and Seller’s exclusive obligation in the event of a breach of warranty of title.  The remedy set forth in Article 12 for breach of warranty of title is for Purchaser to pay the amount of any offending lien and then offset any payments owed from Purchaser to Seller by the amount incurred by Purchaser in connection with paying and discharging the lien.  The problem is that, if there are no payment obligations remaining or owing from the Purchaser to the Seller at the time the title warranty is breached by Seller, Purchaser may be either delayed (until further payments are owed by Purchaser) or prevented entirely (if all payment obligations of Purchaser have been fulfilled) from receiving repayment of the amount relating to the lien and the removal thereof.  This provision should indicate that, if there are no payment obligations owing from the Purchaser to the Seller at the time that the warranty of title is breached, Seller shall, immediately upon receiving an invoice therefor, pay such amounts to Purchaser;</w:t>
      </w:r>
    </w:p>
    <w:p>
      <w:pPr>
        <w:pStyle w:val="Body"/>
        <w:numPr>
          <w:ilvl w:val="0"/>
          <w:numId w:val="2"/>
        </w:numPr>
        <w:jc w:val="both"/>
        <w:rPr>
          <w:sz w:val="22"/>
        </w:rPr>
      </w:pPr>
      <w:r>
        <w:rPr>
          <w:sz w:val="22"/>
        </w:rPr>
        <w:t>In Section 13.1(c), it seems somewhat unreasonable that, if Seller’s fix for the Equipment will leave the Equipment unavailable for more than 72 hours and Agent selects an alternative repair or replacement remedy, Agent will be responsible for paying any incremental expenses incurred as a result of its alternate remedy.  In the Columbus Agreement, Seller is on the hook for all amounts if they are not responsive;</w:t>
      </w:r>
    </w:p>
    <w:p>
      <w:pPr>
        <w:pStyle w:val="Body"/>
        <w:numPr>
          <w:ilvl w:val="0"/>
          <w:numId w:val="2"/>
        </w:numPr>
        <w:jc w:val="both"/>
        <w:rPr>
          <w:sz w:val="22"/>
        </w:rPr>
      </w:pPr>
      <w:r>
        <w:rPr>
          <w:sz w:val="22"/>
        </w:rPr>
        <w:t>In Section 13.1(d), I am unsure whether the fact that Purchaser is responsible after Provisional Acceptance is achieved for providing disassembly and reassembly of Equipment to allow any warranty repairs to be undertaken by Seller means that Purchaser is responsible for the costs relating thereto in addition to simply being responsible for conducting the actual disassembly/reassembly work.  It seems unreasonable that Purchaser would be responsible for the costs associated with disassembling and reassembling the Equipment to allow the Seller to perform its warranty work, regardless of the time at which such disassembly and reassembly is required;</w:t>
      </w:r>
    </w:p>
    <w:p>
      <w:pPr>
        <w:pStyle w:val="Body"/>
        <w:numPr>
          <w:ilvl w:val="0"/>
          <w:numId w:val="2"/>
        </w:numPr>
        <w:jc w:val="both"/>
        <w:rPr>
          <w:sz w:val="22"/>
        </w:rPr>
      </w:pPr>
      <w:r>
        <w:rPr>
          <w:sz w:val="22"/>
        </w:rPr>
        <w:t>In Section 13.1(f), the references to “Seller” in subparagraph (1), (2) and (7) should read “by, through or under Seller or its subcontractors” rather than just “by Seller”.  Otherwise, the warranties will not apply if one of the Seller’s subcontractors improperly repairs the Equipment, an unacceptable result.  In addition, in subsection (5) of that section, it should be specified that the warranties will not apply to any Equipment which has been damaged as a result of the matters set forth therein only when such Equipment is in the Purchaser’s control.  It is possible that such damage could occur to the Equipment while they are still in the possession of the Seller and in such circumstance, the warranties should still apply;</w:t>
      </w:r>
    </w:p>
    <w:p>
      <w:pPr>
        <w:pStyle w:val="Body"/>
        <w:numPr>
          <w:ilvl w:val="0"/>
          <w:numId w:val="2"/>
        </w:numPr>
        <w:jc w:val="both"/>
        <w:rPr>
          <w:sz w:val="22"/>
        </w:rPr>
      </w:pPr>
      <w:r>
        <w:rPr>
          <w:sz w:val="22"/>
        </w:rPr>
        <w:t>If should be noted that nothing like Section 13.1(h) is contained in the Columbus Agreement and that this provision is fairly onerous for the Purchaser;</w:t>
      </w:r>
    </w:p>
    <w:p>
      <w:pPr>
        <w:pStyle w:val="Body"/>
        <w:numPr>
          <w:ilvl w:val="0"/>
          <w:numId w:val="2"/>
        </w:numPr>
        <w:jc w:val="both"/>
        <w:rPr>
          <w:sz w:val="22"/>
        </w:rPr>
      </w:pPr>
      <w:r>
        <w:rPr>
          <w:sz w:val="22"/>
        </w:rPr>
        <w:t>The provisions of Section 13.2 and the corresponding matters described in Exhibit “B” with respect thereto will need to be vetted from a commercial perspective, as I have not reviewed these matters;</w:t>
      </w:r>
    </w:p>
    <w:p>
      <w:pPr>
        <w:pStyle w:val="Body"/>
        <w:numPr>
          <w:ilvl w:val="0"/>
          <w:numId w:val="2"/>
        </w:numPr>
        <w:jc w:val="both"/>
        <w:rPr>
          <w:sz w:val="22"/>
        </w:rPr>
      </w:pPr>
      <w:r>
        <w:rPr>
          <w:sz w:val="22"/>
        </w:rPr>
        <w:t>In the first paragraph of Section 15, it indicates that confidential information shall be used solely for the operation or maintenance of the Equipment and not for any other purpose.  Do we need to specifically reference that such information may be used for the conversion or refurbishment of the Equipment, as I am assuming that Power Systems will need to convert these units as well?</w:t>
      </w:r>
    </w:p>
    <w:p>
      <w:pPr>
        <w:pStyle w:val="Body"/>
        <w:numPr>
          <w:ilvl w:val="0"/>
          <w:numId w:val="2"/>
        </w:numPr>
        <w:jc w:val="both"/>
        <w:rPr>
          <w:sz w:val="22"/>
        </w:rPr>
      </w:pPr>
      <w:r>
        <w:rPr>
          <w:sz w:val="22"/>
        </w:rPr>
        <w:t>In Article 18, the list of Defaults does not include bankruptcy of the parties, which I would suggest will need to be inserted at least with respect to Seller;</w:t>
      </w:r>
    </w:p>
    <w:p>
      <w:pPr>
        <w:pStyle w:val="Body"/>
        <w:numPr>
          <w:ilvl w:val="0"/>
          <w:numId w:val="2"/>
        </w:numPr>
        <w:jc w:val="both"/>
        <w:rPr>
          <w:sz w:val="22"/>
        </w:rPr>
      </w:pPr>
      <w:r>
        <w:rPr>
          <w:sz w:val="22"/>
        </w:rPr>
        <w:t>The time periods in Section 18(b)(1), (2), (4) and in all of Section 18(c) will need to be checked for commercial acceptability;</w:t>
      </w:r>
    </w:p>
    <w:p>
      <w:pPr>
        <w:pStyle w:val="Body"/>
        <w:numPr>
          <w:ilvl w:val="0"/>
          <w:numId w:val="2"/>
        </w:numPr>
        <w:jc w:val="both"/>
        <w:rPr>
          <w:sz w:val="22"/>
        </w:rPr>
      </w:pPr>
      <w:r>
        <w:rPr>
          <w:sz w:val="22"/>
        </w:rPr>
        <w:t>In Section 18(b)(3), it seems unreasonable that, before there is a Seller’s Default, Purchaser is required to provide a written notice of Seller’s failure to post the Letter of Credit when the Letter of Credit Delivery Date is specified as a date certain in the Calumet Agreement.  If they miss the date, they should be in default without further notice required from Purchaser since they know exactly when they have to post the Letter of Credit.  That is the way the Letter of Credit default is dealt with in the Columbus Agreement;</w:t>
      </w:r>
    </w:p>
    <w:p>
      <w:pPr>
        <w:pStyle w:val="Body"/>
        <w:numPr>
          <w:ilvl w:val="0"/>
          <w:numId w:val="2"/>
        </w:numPr>
        <w:jc w:val="both"/>
        <w:rPr>
          <w:sz w:val="22"/>
        </w:rPr>
      </w:pPr>
      <w:r>
        <w:rPr>
          <w:sz w:val="22"/>
        </w:rPr>
        <w:t>Please consider that many of the cure periods are less with respect to the Seller Defaults and more with respect to the Purchaser Defaults than in the Columbus Agreement;</w:t>
      </w:r>
    </w:p>
    <w:p>
      <w:pPr>
        <w:pStyle w:val="Body"/>
        <w:numPr>
          <w:ilvl w:val="0"/>
          <w:numId w:val="2"/>
        </w:numPr>
        <w:jc w:val="both"/>
        <w:rPr>
          <w:sz w:val="22"/>
        </w:rPr>
      </w:pPr>
      <w:r>
        <w:rPr>
          <w:sz w:val="22"/>
        </w:rPr>
        <w:t>In Section 18(d), it indicates that upon a Default by Seller, Purchaser shall have the right to terminate the Contract.  Instead, Purchaser should be given all rights and remedies available at law or in equity, including the right to terminate the Contract (as is specified in the Columbus Agreement).  In addition, Purchaser should be entitled to withhold payments during the continuance of a Default by Seller, a right which is not specified in this Section;</w:t>
      </w:r>
    </w:p>
    <w:p>
      <w:pPr>
        <w:pStyle w:val="Body"/>
        <w:numPr>
          <w:ilvl w:val="0"/>
          <w:numId w:val="2"/>
        </w:numPr>
        <w:jc w:val="both"/>
        <w:rPr>
          <w:sz w:val="22"/>
        </w:rPr>
      </w:pPr>
      <w:r>
        <w:rPr>
          <w:sz w:val="22"/>
        </w:rPr>
        <w:t>The assignment provisions contained in Article 19 are much more detailed than in the Columbus Agreement and increase the ability of Seller to block an assignment by requiring that, with respect to any assignment to a third party, the financial standing of such third party must be reasonably satisfactory to the Seller, thereby increasing the risk that ABB could refuse the assignment;</w:t>
      </w:r>
    </w:p>
    <w:p>
      <w:pPr>
        <w:pStyle w:val="Body"/>
        <w:numPr>
          <w:ilvl w:val="0"/>
          <w:numId w:val="2"/>
        </w:numPr>
        <w:jc w:val="both"/>
        <w:rPr>
          <w:sz w:val="22"/>
        </w:rPr>
      </w:pPr>
      <w:r>
        <w:rPr>
          <w:sz w:val="22"/>
        </w:rPr>
        <w:t>We will need to be careful about the use of payment bonds, as set forth in a few provisions of the Calumet Agreement, including in Section 19.1(e), where, in certain circumstances, the Seller shall have the right to substitute for the Letter of Credit a payment bond issued by a corporate surety authorized to transact its surety business in the State of Illinois, a provision which would be unacceptable to Enron Canada, and in Article 33;</w:t>
      </w:r>
    </w:p>
    <w:p>
      <w:pPr>
        <w:pStyle w:val="Body"/>
        <w:numPr>
          <w:ilvl w:val="0"/>
          <w:numId w:val="2"/>
        </w:numPr>
        <w:jc w:val="both"/>
        <w:rPr>
          <w:sz w:val="22"/>
        </w:rPr>
      </w:pPr>
      <w:r>
        <w:rPr>
          <w:sz w:val="22"/>
        </w:rPr>
        <w:t>The definition of Claim in Section 23(a)(1) does not include “fines, penalties or other assessments resulting from violation of Laws”, as included in the Columbus Agreement;</w:t>
      </w:r>
    </w:p>
    <w:p>
      <w:pPr>
        <w:pStyle w:val="Body"/>
        <w:numPr>
          <w:ilvl w:val="0"/>
          <w:numId w:val="2"/>
        </w:numPr>
        <w:jc w:val="both"/>
        <w:rPr>
          <w:sz w:val="22"/>
        </w:rPr>
      </w:pPr>
      <w:r>
        <w:rPr>
          <w:sz w:val="22"/>
        </w:rPr>
        <w:t>The term “Construction” in Section 23(a)(4) is not defined anywhere in the Calumet Agreement;</w:t>
      </w:r>
    </w:p>
    <w:p>
      <w:pPr>
        <w:pStyle w:val="Body"/>
        <w:numPr>
          <w:ilvl w:val="0"/>
          <w:numId w:val="2"/>
        </w:numPr>
        <w:jc w:val="both"/>
        <w:rPr>
          <w:sz w:val="22"/>
        </w:rPr>
      </w:pPr>
      <w:r>
        <w:rPr>
          <w:sz w:val="22"/>
        </w:rPr>
        <w:t>Have the insurance provisions set forth in Section 23(b) been reviewed by our insurance people?</w:t>
      </w:r>
    </w:p>
    <w:p>
      <w:pPr>
        <w:pStyle w:val="Body"/>
        <w:numPr>
          <w:ilvl w:val="0"/>
          <w:numId w:val="2"/>
        </w:numPr>
        <w:jc w:val="both"/>
        <w:rPr>
          <w:sz w:val="22"/>
        </w:rPr>
      </w:pPr>
      <w:r>
        <w:rPr>
          <w:sz w:val="22"/>
        </w:rPr>
        <w:t>With respect to the Builders All Risk Insurance that Purchaser is required to obtain under Section 23(b)(3), why would Seller have the right to review and sign off on the form of policy (pursuant to the fourth paragraph thereof) when Purchaser is not given the same right with respect to Seller’s insurance requirements?</w:t>
      </w:r>
    </w:p>
    <w:p>
      <w:pPr>
        <w:pStyle w:val="Body"/>
        <w:numPr>
          <w:ilvl w:val="0"/>
          <w:numId w:val="2"/>
        </w:numPr>
        <w:jc w:val="both"/>
        <w:rPr>
          <w:sz w:val="22"/>
        </w:rPr>
      </w:pPr>
      <w:r>
        <w:rPr>
          <w:sz w:val="22"/>
        </w:rPr>
        <w:t>With respect to the limitation of liability described in Section 24(a), it should be considered that a similar cap under the Columbus Agreement specifically excluded acts of gross negligence or willful misconduct from such cap, an exclusion which is not included in this Agreement;</w:t>
      </w:r>
    </w:p>
    <w:p>
      <w:pPr>
        <w:pStyle w:val="Body"/>
        <w:numPr>
          <w:ilvl w:val="0"/>
          <w:numId w:val="2"/>
        </w:numPr>
        <w:jc w:val="both"/>
        <w:rPr>
          <w:sz w:val="22"/>
        </w:rPr>
      </w:pPr>
      <w:r>
        <w:rPr>
          <w:sz w:val="22"/>
        </w:rPr>
        <w:t>That part of the exclusion set forth in Section 24(c) which indicates that none of the parties will be liable under this contract or under any cause of action related thereto “for any loss by reason of inability to operate the facility of which the units are a part at full capacity or loss by reason of total inability to operate” is problematic since it would seem that the fact that Seller is responsible for paying LDs if they cannot meet the performance requirements (ie. Purchaser cannot operate the facility at full capacity or at all) seems to be in conflict with this exclusion in Section 24(c);</w:t>
      </w:r>
    </w:p>
    <w:p>
      <w:pPr>
        <w:pStyle w:val="Body"/>
        <w:numPr>
          <w:ilvl w:val="0"/>
          <w:numId w:val="2"/>
        </w:numPr>
        <w:jc w:val="both"/>
        <w:rPr>
          <w:sz w:val="22"/>
        </w:rPr>
      </w:pPr>
      <w:r>
        <w:rPr>
          <w:sz w:val="22"/>
        </w:rPr>
        <w:t>The scope and amounts of the liquidated damages set forth in Article 27 will need to be reviewed from a commercial perspective.  In most instances the amounts set forth as LDs are less than in the Columbus Agreement (other than with respect to Heat Rate LDs) and the caps on such LDs are less;</w:t>
      </w:r>
    </w:p>
    <w:p>
      <w:pPr>
        <w:pStyle w:val="Body"/>
        <w:numPr>
          <w:ilvl w:val="0"/>
          <w:numId w:val="2"/>
        </w:numPr>
        <w:jc w:val="both"/>
        <w:rPr>
          <w:sz w:val="22"/>
        </w:rPr>
      </w:pPr>
      <w:r>
        <w:rPr>
          <w:sz w:val="22"/>
        </w:rPr>
        <w:t>The provisions set forth in Section 27.2(b)(2) are very punitive and nothing of a similar nature is contained in the Columbus Agreement;</w:t>
      </w:r>
    </w:p>
    <w:p>
      <w:pPr>
        <w:pStyle w:val="Body"/>
        <w:numPr>
          <w:ilvl w:val="0"/>
          <w:numId w:val="2"/>
        </w:numPr>
        <w:jc w:val="both"/>
        <w:rPr>
          <w:sz w:val="22"/>
        </w:rPr>
      </w:pPr>
      <w:r>
        <w:rPr>
          <w:sz w:val="22"/>
        </w:rPr>
        <w:t>Although I think this point may be set forth in Fred’s memo, the fact that Seller can elect to either pay liquidated damages or modify that part of the Equipment which has been demonstrated to be deficient seems unreasonable and it would be more reasonable to have Seller pay the amount of liquidated damages and then proceed with repairing the parts, with such LDs being refundable if the performance assurances can then be met;</w:t>
      </w:r>
    </w:p>
    <w:p>
      <w:pPr>
        <w:pStyle w:val="Body"/>
        <w:numPr>
          <w:ilvl w:val="0"/>
          <w:numId w:val="2"/>
        </w:numPr>
        <w:jc w:val="both"/>
        <w:rPr>
          <w:sz w:val="22"/>
        </w:rPr>
      </w:pPr>
      <w:r>
        <w:rPr>
          <w:sz w:val="22"/>
        </w:rPr>
        <w:t>With respect to Section 27.2(e), I do not understand why Seller’s Performance Guarantee obligations are contingent upon Purchaser meeting the conditions set forth in the warranty provisions of this Agreement.  The Performance Guarantee obligations seem to me to be distinct obligations separate and apart from the warranty obligations with no real nexus between the two;</w:t>
      </w:r>
    </w:p>
    <w:p>
      <w:pPr>
        <w:pStyle w:val="Body"/>
        <w:numPr>
          <w:ilvl w:val="0"/>
          <w:numId w:val="2"/>
        </w:numPr>
        <w:jc w:val="both"/>
        <w:rPr>
          <w:sz w:val="22"/>
        </w:rPr>
      </w:pPr>
      <w:r>
        <w:rPr>
          <w:sz w:val="22"/>
        </w:rPr>
        <w:t>The dispute resolution provisions set forth in Section 31 could ultimately add an additional delay to the resolution of an issue of about 45 days while the parties discuss solutions amongst various levels of management as described therein.  The arbitration provisions set forth in Article 32 have substantially longer periods allowed for decision making than are set forth in the Columbus Agreement and could delay a decision significantly.  Between Sections 31 and 32, the time to resolve a dispute will be significant;</w:t>
      </w:r>
    </w:p>
    <w:p>
      <w:pPr>
        <w:pStyle w:val="Body"/>
        <w:numPr>
          <w:ilvl w:val="0"/>
          <w:numId w:val="2"/>
        </w:numPr>
        <w:jc w:val="both"/>
        <w:rPr>
          <w:sz w:val="22"/>
        </w:rPr>
      </w:pPr>
      <w:r>
        <w:rPr>
          <w:sz w:val="22"/>
        </w:rPr>
        <w:t>Article 33 seems completely unreasonable in that the parties are prevented from terminating or suspending their obligations under this Agreement if a dispute has not been resolved.  It could be the case that the parties are arbitrating a matter relating to the amount of an invoice and, during the period of time require to resolve this dispute, which under this Agreement could potentially be extremely lengthy (see point 45 above), the Seller could default in such a manner which would allow the Purchaser to terminate the agreement.  In that case, Article 33 would prevent the Purchaser from terminating the agreement until the dispute with respect to the invoice was resolved, an outcome which would seem unacceptable.  There is no similar provision in the Columbus Agreement;</w:t>
      </w:r>
    </w:p>
    <w:p>
      <w:pPr>
        <w:pStyle w:val="Body"/>
        <w:numPr>
          <w:ilvl w:val="0"/>
          <w:numId w:val="2"/>
        </w:numPr>
        <w:jc w:val="both"/>
        <w:rPr>
          <w:sz w:val="22"/>
        </w:rPr>
      </w:pPr>
      <w:r>
        <w:rPr>
          <w:sz w:val="22"/>
        </w:rPr>
        <w:t>The Acknowledgement of Status as Third Party Beneficiaries set forth in Exhibit “F” is particular to this transaction and Seller has required that the liability cap set forth in the agreement bind the numerous owners of the Agent.  This Exhibit would have no application upon the assignment of the Calumet Agreement to Enron Canada.</w:t>
      </w:r>
    </w:p>
    <w:p>
      <w:pPr>
        <w:pStyle w:val="Body"/>
        <w:ind w:start="90" w:end="0"/>
        <w:jc w:val="both"/>
        <w:rPr>
          <w:sz w:val="22"/>
        </w:rPr>
      </w:pPr>
      <w:r>
        <w:rPr>
          <w:sz w:val="22"/>
        </w:rPr>
      </w:r>
    </w:p>
    <w:p>
      <w:pPr>
        <w:pStyle w:val="Body"/>
        <w:ind w:start="90" w:end="0"/>
        <w:jc w:val="both"/>
        <w:rPr>
          <w:sz w:val="22"/>
        </w:rPr>
      </w:pPr>
      <w:r>
        <w:rPr>
          <w:sz w:val="22"/>
        </w:rPr>
        <w:t>I understand that this is a significant list of potential issues, concerns and defects.  However, this agreement is poorly drafted, which leads to contractual ambiguity and uncertainty and in some situations, conflicts between provisions.  I hope this is helpful to you.</w:t>
      </w:r>
    </w:p>
    <w:p>
      <w:pPr>
        <w:pStyle w:val="Body"/>
        <w:ind w:start="90" w:end="0"/>
        <w:jc w:val="both"/>
        <w:rPr>
          <w:sz w:val="22"/>
        </w:rPr>
      </w:pPr>
      <w:r>
        <w:rPr>
          <w:sz w:val="22"/>
        </w:rPr>
      </w:r>
    </w:p>
    <w:p>
      <w:pPr>
        <w:pStyle w:val="Body"/>
        <w:ind w:start="90" w:end="0"/>
        <w:jc w:val="both"/>
        <w:rPr>
          <w:sz w:val="22"/>
        </w:rPr>
      </w:pPr>
      <w:r>
        <w:rPr>
          <w:sz w:val="22"/>
        </w:rPr>
        <w:t>Thanks,</w:t>
      </w:r>
    </w:p>
    <w:p>
      <w:pPr>
        <w:pStyle w:val="Body"/>
        <w:ind w:start="90" w:end="0"/>
        <w:jc w:val="both"/>
        <w:rPr>
          <w:sz w:val="22"/>
        </w:rPr>
      </w:pPr>
      <w:r>
        <w:rPr>
          <w:sz w:val="22"/>
        </w:rPr>
        <w:t>Greg</w:t>
      </w:r>
    </w:p>
    <w:p>
      <w:pPr>
        <w:pStyle w:val="Body"/>
        <w:jc w:val="both"/>
        <w:rPr>
          <w:sz w:val="22"/>
        </w:rPr>
      </w:pPr>
      <w:r>
        <w:rPr>
          <w:sz w:val="22"/>
        </w:rPr>
      </w:r>
    </w:p>
    <w:p>
      <w:pPr>
        <w:pStyle w:val="Body"/>
        <w:jc w:val="both"/>
        <w:rPr>
          <w:sz w:val="22"/>
        </w:rPr>
      </w:pPr>
      <w:r>
        <w:rPr>
          <w:sz w:val="22"/>
        </w:rPr>
      </w:r>
    </w:p>
    <w:p>
      <w:pPr>
        <w:pStyle w:val="Body"/>
        <w:ind w:start="90" w:end="0"/>
        <w:jc w:val="both"/>
        <w:rPr>
          <w:sz w:val="22"/>
        </w:rPr>
      </w:pPr>
      <w:r>
        <w:rPr>
          <w:sz w:val="22"/>
        </w:rPr>
        <w:t>GJ/ls</w:t>
      </w:r>
    </w:p>
    <w:p>
      <w:pPr>
        <w:pStyle w:val="Body"/>
        <w:ind w:start="90" w:end="0"/>
        <w:jc w:val="both"/>
        <w:rPr>
          <w:sz w:val="22"/>
        </w:rPr>
      </w:pPr>
      <w:r>
        <w:rPr>
          <w:sz w:val="22"/>
        </w:rPr>
      </w:r>
    </w:p>
    <w:p>
      <w:pPr>
        <w:pStyle w:val="Body"/>
        <w:ind w:start="90" w:end="0"/>
        <w:jc w:val="both"/>
        <w:rPr>
          <w:sz w:val="22"/>
        </w:rPr>
      </w:pPr>
      <w:r>
        <w:rPr>
          <w:sz w:val="22"/>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/mnt/main-storage/datasets/enron-docs/doc/ledain_memo_re_review_of_calumet.doc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/mnt/main-storage/datasets/enron-docs/doc/ledain_memo_re_review_of_calumet.doc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w:tab/>
    </w:r>
  </w:p>
  <w:p>
    <w:pPr>
      <w:pStyle w:val="Header"/>
      <w:rPr>
        <w:sz w:val="16"/>
      </w:rPr>
    </w:pP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p>
    <w:pPr>
      <w:pStyle w:val="Header"/>
      <w:rPr>
        <w:sz w:val="22"/>
      </w:rPr>
    </w:pPr>
    <w:r>
      <w:rPr>
        <w:sz w:val="16"/>
      </w:rPr>
      <w:t xml:space="preserve">Page </w:t>
    </w:r>
    <w:r>
      <w:rPr>
        <w:sz w:val="16"/>
      </w:rPr>
      <w:fldChar w:fldCharType="begin"/>
    </w:r>
    <w:r>
      <w:rPr>
        <w:sz w:val="16"/>
      </w:rPr>
      <w:instrText xml:space="preserve"> PAGE </w:instrText>
    </w:r>
    <w:r>
      <w:rPr>
        <w:sz w:val="16"/>
      </w:rPr>
      <w:fldChar w:fldCharType="separate"/>
    </w:r>
    <w:r>
      <w:rPr>
        <w:sz w:val="16"/>
      </w:rPr>
      <w:t>6</w:t>
    </w:r>
    <w:r>
      <w:rPr>
        <w:sz w:val="16"/>
      </w:rPr>
      <w:fldChar w:fldCharType="end"/>
    </w:r>
  </w:p>
  <w:p>
    <w:pPr>
      <w:pStyle w:val="Header"/>
      <w:rPr>
        <w:sz w:val="22"/>
      </w:rPr>
    </w:pPr>
    <w:r>
      <w:rPr>
        <w:sz w:val="22"/>
      </w:rPr>
    </w:r>
  </w:p>
  <w:p>
    <w:pPr>
      <w:pStyle w:val="Header"/>
      <w:pBdr>
        <w:top w:val="single" w:sz="4" w:space="1" w:color="000000"/>
      </w:pBd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63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spacing w:lineRule="atLeast" w:line="240"/>
      <w:ind w:hanging="0" w:start="72" w:end="0"/>
      <w:jc w:val="both"/>
    </w:pPr>
    <w:rPr>
      <w:color w:val="000000"/>
      <w:sz w:val="22"/>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2000-07-14T14:36:00Z</dcterms:created>
  <dc:creator>ncappel</dc:creator>
  <dc:description/>
  <dc:language>en-CA</dc:language>
  <cp:lastModifiedBy>eledain</cp:lastModifiedBy>
  <cp:lastPrinted>2000-06-07T11:43:00Z</cp:lastPrinted>
  <dcterms:modified xsi:type="dcterms:W3CDTF">2000-07-14T14:36:00Z</dcterms:modified>
  <cp:revision>2</cp:revision>
  <dc:subject/>
  <dc:title>Eron Capital &amp; Trade Resources Memo</dc:title>
</cp:coreProperties>
</file>