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To: Elizebeth Sager</w:t>
      </w:r>
    </w:p>
    <w:p>
      <w:pPr>
        <w:pStyle w:val="Normal"/>
        <w:rPr/>
      </w:pPr>
      <w:r>
        <w:rPr/>
        <w:t>From: Ed Baughman</w:t>
      </w:r>
    </w:p>
    <w:p>
      <w:pPr>
        <w:pStyle w:val="Normal"/>
        <w:rPr/>
      </w:pPr>
      <w:r>
        <w:rPr/>
        <w:t>cc: Jim Fallon</w:t>
      </w:r>
    </w:p>
    <w:p>
      <w:pPr>
        <w:pStyle w:val="Normal"/>
        <w:rPr/>
      </w:pPr>
      <w:r>
        <w:rPr/>
      </w:r>
    </w:p>
    <w:p>
      <w:pPr>
        <w:pStyle w:val="Normal"/>
        <w:ind w:hanging="720" w:start="720" w:end="0"/>
        <w:rPr/>
      </w:pPr>
      <w:r>
        <w:rPr/>
        <w:tab/>
      </w:r>
      <w:r>
        <w:rPr>
          <w:u w:val="single"/>
        </w:rPr>
        <w:t>Description:</w:t>
      </w:r>
    </w:p>
    <w:p>
      <w:pPr>
        <w:pStyle w:val="Normal"/>
        <w:numPr>
          <w:ilvl w:val="0"/>
          <w:numId w:val="1"/>
        </w:numPr>
        <w:tabs>
          <w:tab w:val="clear" w:pos="720"/>
          <w:tab w:val="left" w:pos="0" w:leader="none"/>
        </w:tabs>
        <w:ind w:hanging="720" w:start="1440" w:end="0"/>
        <w:rPr/>
      </w:pPr>
      <w:r>
        <w:rPr/>
        <w:t xml:space="preserve">EPMI is short up to 100 MW’s of capacity and energy to the Lower Colorado River Authority (LCRA) through December 31, 2016. EPMI has the right to terminate this Agreement effective 12/31/2002.   </w:t>
      </w:r>
    </w:p>
    <w:p>
      <w:pPr>
        <w:pStyle w:val="Normal"/>
        <w:numPr>
          <w:ilvl w:val="0"/>
          <w:numId w:val="1"/>
        </w:numPr>
        <w:tabs>
          <w:tab w:val="clear" w:pos="720"/>
          <w:tab w:val="left" w:pos="0" w:leader="none"/>
        </w:tabs>
        <w:ind w:hanging="720" w:start="1440" w:end="0"/>
        <w:rPr/>
      </w:pPr>
      <w:r>
        <w:rPr/>
        <w:t>EPMI and Calpine Power Services Corp. (CPSC) executed a Letter  Agreement on July 30, 1999 pursuant to which CPSC agreed to assume EPMI’s obligations under the LCRA contract in exchange for $1.8 million, subject to the conditions precedent that (1) LCRA consent to the assignment and (2) EPMI and CPSC sign an assignment agreement. CPSC was contractually obligated to use its good faith efforts to secure LCRA’s consent. If the conditions precedent are not satisfied by 8/27, the Letter Agreement expires .</w:t>
      </w:r>
    </w:p>
    <w:p>
      <w:pPr>
        <w:pStyle w:val="Normal"/>
        <w:numPr>
          <w:ilvl w:val="0"/>
          <w:numId w:val="1"/>
        </w:numPr>
        <w:tabs>
          <w:tab w:val="clear" w:pos="720"/>
          <w:tab w:val="left" w:pos="0" w:leader="none"/>
        </w:tabs>
        <w:ind w:hanging="720" w:start="1440" w:end="0"/>
        <w:rPr/>
      </w:pPr>
      <w:r>
        <w:rPr/>
        <w:t xml:space="preserve">LCRA granted its written consent  to the assignment subject to the receipt of a Calpine Corp. Guaranty.  CPSC refused to provide a guaranty from Calpine Corp. </w:t>
      </w:r>
    </w:p>
    <w:p>
      <w:pPr>
        <w:pStyle w:val="Normal"/>
        <w:numPr>
          <w:ilvl w:val="0"/>
          <w:numId w:val="1"/>
        </w:numPr>
        <w:tabs>
          <w:tab w:val="clear" w:pos="720"/>
          <w:tab w:val="left" w:pos="0" w:leader="none"/>
        </w:tabs>
        <w:ind w:hanging="360" w:start="1440" w:end="0"/>
        <w:rPr/>
      </w:pPr>
      <w:r>
        <w:rPr/>
        <w:t>In order to secure LCRA’s consent to the assignment, Enron Corp. Would have been required to provide LCRA a guaranty agreement which would have provided protection to LCRA in the event of a Calpine bankruptcy. The guaranty would have been in effect only until 12/31/2002 and only cover performance prior to such date.</w:t>
      </w:r>
    </w:p>
    <w:p>
      <w:pPr>
        <w:pStyle w:val="Normal"/>
        <w:rPr/>
      </w:pPr>
      <w:r>
        <w:rPr/>
      </w:r>
    </w:p>
    <w:p>
      <w:pPr>
        <w:pStyle w:val="Normal"/>
        <w:rPr/>
      </w:pPr>
      <w:r>
        <w:rPr/>
        <w:tab/>
      </w:r>
      <w:r>
        <w:rPr>
          <w:u w:val="single"/>
        </w:rPr>
        <w:t>EPMI exposures:</w:t>
      </w:r>
    </w:p>
    <w:p>
      <w:pPr>
        <w:pStyle w:val="Normal"/>
        <w:numPr>
          <w:ilvl w:val="0"/>
          <w:numId w:val="2"/>
        </w:numPr>
        <w:tabs>
          <w:tab w:val="clear" w:pos="720"/>
          <w:tab w:val="left" w:pos="0" w:leader="none"/>
        </w:tabs>
        <w:ind w:hanging="720" w:start="1440" w:end="0"/>
        <w:rPr/>
      </w:pPr>
      <w:r>
        <w:rPr/>
        <w:t xml:space="preserve">EPMI is currently obligated to deliver capacity and energy to LCRA within the Electric  Reliability Council OF Texas (ERCOT). This summer, hourly prices in ERCOT reached $1000 per MW hour. EPMI has a unit contingent capacity/energy purchase Agreement with Occidental Chemical (OC) from July 15, 1999 through December 31,1999 to serve the LCRA short. OC has not been able to provide any energy since July 15 as they have had problems testing and bringing their new gas combustion turbines 100% online. EPMI has incurred approximately $2.0 million in losses due to covering the LCRA in the daily cash market. </w:t>
      </w:r>
    </w:p>
    <w:p>
      <w:pPr>
        <w:pStyle w:val="Normal"/>
        <w:numPr>
          <w:ilvl w:val="0"/>
          <w:numId w:val="2"/>
        </w:numPr>
        <w:tabs>
          <w:tab w:val="clear" w:pos="720"/>
          <w:tab w:val="left" w:pos="0" w:leader="none"/>
        </w:tabs>
        <w:ind w:hanging="720" w:start="1440" w:end="0"/>
        <w:rPr/>
      </w:pPr>
      <w:r>
        <w:rPr/>
        <w:t xml:space="preserve">EPMI is concerned that capacity will be more scarce going forward (especially during the summer of 2000). </w:t>
      </w:r>
    </w:p>
    <w:p>
      <w:pPr>
        <w:pStyle w:val="Normal"/>
        <w:numPr>
          <w:ilvl w:val="0"/>
          <w:numId w:val="2"/>
        </w:numPr>
        <w:tabs>
          <w:tab w:val="clear" w:pos="720"/>
          <w:tab w:val="left" w:pos="0" w:leader="none"/>
        </w:tabs>
        <w:ind w:hanging="360" w:start="1440" w:end="0"/>
        <w:rPr/>
      </w:pPr>
      <w:r>
        <w:rPr/>
        <w:t>Significant capacity additions will not show up in ERCOT until 2001 to 2002.</w:t>
      </w:r>
    </w:p>
    <w:p>
      <w:pPr>
        <w:pStyle w:val="Normal"/>
        <w:rPr/>
      </w:pPr>
      <w:r>
        <w:rPr/>
      </w:r>
    </w:p>
    <w:p>
      <w:pPr>
        <w:pStyle w:val="Normal"/>
        <w:rPr/>
      </w:pPr>
      <w:r>
        <w:rPr/>
        <w:tab/>
      </w:r>
      <w:r>
        <w:rPr>
          <w:u w:val="single"/>
        </w:rPr>
        <w:t>Negotiations with Calpine:</w:t>
      </w:r>
    </w:p>
    <w:p>
      <w:pPr>
        <w:pStyle w:val="Normal"/>
        <w:numPr>
          <w:ilvl w:val="0"/>
          <w:numId w:val="3"/>
        </w:numPr>
        <w:tabs>
          <w:tab w:val="clear" w:pos="720"/>
          <w:tab w:val="left" w:pos="0" w:leader="none"/>
        </w:tabs>
        <w:ind w:hanging="720" w:start="1440" w:end="0"/>
        <w:rPr/>
      </w:pPr>
      <w:r>
        <w:rPr/>
        <w:t xml:space="preserve">October , 1998: Paul Posoli begins discussions with LCRA to amend the LCRA PPA and with CPSC to purchase </w:t>
      </w:r>
      <w:r>
        <w:rPr>
          <w:u w:val="single"/>
        </w:rPr>
        <w:t>unit contingent</w:t>
      </w:r>
      <w:r>
        <w:rPr/>
        <w:t xml:space="preserve"> capacity and energy to cover calendar years 2000-2002 (EPMI planned to give notice of termination to LCRA effective 12/31/02).</w:t>
      </w:r>
    </w:p>
    <w:p>
      <w:pPr>
        <w:pStyle w:val="Normal"/>
        <w:numPr>
          <w:ilvl w:val="0"/>
          <w:numId w:val="3"/>
        </w:numPr>
        <w:tabs>
          <w:tab w:val="clear" w:pos="720"/>
          <w:tab w:val="left" w:pos="0" w:leader="none"/>
        </w:tabs>
        <w:ind w:hanging="720" w:start="1440" w:end="0"/>
        <w:rPr/>
      </w:pPr>
      <w:r>
        <w:rPr/>
        <w:t xml:space="preserve">April, 1999: P. Posoli amends the LCRA contract to increase the contract quantity and capacity value while reducing contract optionallity.     </w:t>
      </w:r>
    </w:p>
    <w:p>
      <w:pPr>
        <w:pStyle w:val="Normal"/>
        <w:numPr>
          <w:ilvl w:val="0"/>
          <w:numId w:val="3"/>
        </w:numPr>
        <w:tabs>
          <w:tab w:val="clear" w:pos="720"/>
          <w:tab w:val="left" w:pos="0" w:leader="none"/>
        </w:tabs>
        <w:ind w:hanging="720" w:start="1440" w:end="0"/>
        <w:rPr/>
      </w:pPr>
      <w:r>
        <w:rPr/>
        <w:t>May, 1999 : P. Posoli leaves ECT to join Calpine Corp. Paul leaves a complete Calpine supply contract (pending execution) with EPMI.</w:t>
      </w:r>
    </w:p>
    <w:p>
      <w:pPr>
        <w:pStyle w:val="Normal"/>
        <w:numPr>
          <w:ilvl w:val="0"/>
          <w:numId w:val="3"/>
        </w:numPr>
        <w:tabs>
          <w:tab w:val="clear" w:pos="720"/>
          <w:tab w:val="left" w:pos="0" w:leader="none"/>
        </w:tabs>
        <w:ind w:hanging="360" w:start="1440" w:end="0"/>
        <w:rPr/>
      </w:pPr>
      <w:r>
        <w:rPr/>
        <w:t>Review of Calpine Contract reveals substantial risk due to mismatch in performance terms</w:t>
      </w:r>
    </w:p>
    <w:p>
      <w:pPr>
        <w:pStyle w:val="Normal"/>
        <w:ind w:start="720" w:end="0"/>
        <w:rPr/>
      </w:pPr>
      <w:r>
        <w:rPr/>
        <w:t xml:space="preserve">        </w:t>
      </w:r>
      <w:r>
        <w:rPr/>
        <w:t xml:space="preserve">in LCRA Contract (unit contingent vs. delivered obligation). </w:t>
      </w:r>
    </w:p>
    <w:p>
      <w:pPr>
        <w:pStyle w:val="Normal"/>
        <w:numPr>
          <w:ilvl w:val="0"/>
          <w:numId w:val="4"/>
        </w:numPr>
        <w:tabs>
          <w:tab w:val="clear" w:pos="720"/>
          <w:tab w:val="left" w:pos="0" w:leader="none"/>
        </w:tabs>
        <w:ind w:hanging="360" w:start="1440" w:end="0"/>
        <w:rPr/>
      </w:pPr>
      <w:r>
        <w:rPr/>
        <w:t>Throughout negotiations, P. Posoli and E. Sager assert that EPMI will require a Calpine</w:t>
      </w:r>
    </w:p>
    <w:p>
      <w:pPr>
        <w:pStyle w:val="Normal"/>
        <w:ind w:start="720" w:end="0"/>
        <w:rPr/>
      </w:pPr>
      <w:r>
        <w:rPr/>
        <w:t xml:space="preserve">        </w:t>
      </w:r>
      <w:r>
        <w:rPr/>
        <w:t>Corp. Guarantee of Calpine Power Services. Calpine consistently acknowledged their consent</w:t>
      </w:r>
    </w:p>
    <w:p>
      <w:pPr>
        <w:pStyle w:val="Normal"/>
        <w:ind w:start="720" w:end="0"/>
        <w:rPr/>
      </w:pPr>
      <w:r>
        <w:rPr/>
        <w:t xml:space="preserve">        </w:t>
      </w:r>
      <w:r>
        <w:rPr/>
        <w:t>to our requirement. In June, 1999, E Sager and Rusty Kelley meet with Carey Jordan (VP)</w:t>
      </w:r>
    </w:p>
    <w:p>
      <w:pPr>
        <w:pStyle w:val="Normal"/>
        <w:ind w:start="720" w:end="0"/>
        <w:rPr/>
      </w:pPr>
      <w:r>
        <w:rPr/>
        <w:t xml:space="preserve">        </w:t>
      </w:r>
      <w:r>
        <w:rPr/>
        <w:t>and Steve Snow (Mgr.). E. Sager asks for a $20 million Calpine Corp. Guarantee. Calpine</w:t>
      </w:r>
    </w:p>
    <w:p>
      <w:pPr>
        <w:pStyle w:val="Normal"/>
        <w:ind w:start="720" w:end="0"/>
        <w:rPr/>
      </w:pPr>
      <w:r>
        <w:rPr/>
        <w:t xml:space="preserve">        </w:t>
      </w:r>
      <w:r>
        <w:rPr/>
        <w:t>agrees to provide the guarantee in exchange for an Enron Corp. Guarantee. Both sides agree</w:t>
      </w:r>
    </w:p>
    <w:p>
      <w:pPr>
        <w:pStyle w:val="Normal"/>
        <w:ind w:start="720" w:end="0"/>
        <w:rPr/>
      </w:pPr>
      <w:r>
        <w:rPr/>
        <w:t xml:space="preserve">        </w:t>
      </w:r>
      <w:r>
        <w:rPr/>
        <w:t>that guarantees will be exchanged.</w:t>
      </w:r>
    </w:p>
    <w:p>
      <w:pPr>
        <w:pStyle w:val="Normal"/>
        <w:numPr>
          <w:ilvl w:val="0"/>
          <w:numId w:val="5"/>
        </w:numPr>
        <w:tabs>
          <w:tab w:val="clear" w:pos="720"/>
          <w:tab w:val="left" w:pos="0" w:leader="none"/>
        </w:tabs>
        <w:ind w:hanging="360" w:start="1440" w:end="0"/>
        <w:rPr/>
      </w:pPr>
      <w:r>
        <w:rPr/>
        <w:t xml:space="preserve">July, 1999, EPMI asks Calpine if they will consider assignmnet of the LCRA Contract. </w:t>
      </w:r>
    </w:p>
    <w:p>
      <w:pPr>
        <w:pStyle w:val="Normal"/>
        <w:ind w:start="720" w:end="0"/>
        <w:rPr/>
      </w:pPr>
      <w:r>
        <w:rPr/>
        <w:t xml:space="preserve">       </w:t>
      </w:r>
      <w:r>
        <w:rPr/>
        <w:t xml:space="preserve">Calpine indicates they will need a payment to convert from unit contingent to a delivered </w:t>
      </w:r>
    </w:p>
    <w:p>
      <w:pPr>
        <w:pStyle w:val="Normal"/>
        <w:ind w:start="720" w:end="0"/>
        <w:rPr/>
      </w:pPr>
      <w:r>
        <w:rPr/>
        <w:t xml:space="preserve">       </w:t>
      </w:r>
      <w:r>
        <w:rPr/>
        <w:t>obligation. EPMI offers $1.0 million while Calpine bids $2.2 million to cover delivered risk.</w:t>
      </w:r>
    </w:p>
    <w:p>
      <w:pPr>
        <w:pStyle w:val="Normal"/>
        <w:numPr>
          <w:ilvl w:val="0"/>
          <w:numId w:val="6"/>
        </w:numPr>
        <w:tabs>
          <w:tab w:val="clear" w:pos="720"/>
          <w:tab w:val="left" w:pos="0" w:leader="none"/>
        </w:tabs>
        <w:ind w:hanging="360" w:start="1440" w:end="0"/>
        <w:rPr/>
      </w:pPr>
      <w:r>
        <w:rPr/>
        <w:t>July, 1998: EPMI offers Calpine $1.8 million to assume delivered risk. Calpine accepts</w:t>
      </w:r>
    </w:p>
    <w:p>
      <w:pPr>
        <w:pStyle w:val="Normal"/>
        <w:ind w:start="720" w:end="0"/>
        <w:rPr/>
      </w:pPr>
      <w:r>
        <w:rPr/>
        <w:t xml:space="preserve">       </w:t>
      </w:r>
      <w:r>
        <w:rPr/>
        <w:t>EPMI’s offer. On July 30, 1999, Calpine Power Services and EPMI sign a letter agreement</w:t>
      </w:r>
    </w:p>
    <w:p>
      <w:pPr>
        <w:pStyle w:val="Normal"/>
        <w:ind w:start="720" w:end="0"/>
        <w:rPr/>
      </w:pPr>
      <w:r>
        <w:rPr/>
        <w:t xml:space="preserve">       </w:t>
      </w:r>
      <w:r>
        <w:rPr/>
        <w:t>giving Calpine until August 27, 1999 to negotiate assignment terms with  LCRA under</w:t>
      </w:r>
    </w:p>
    <w:p>
      <w:pPr>
        <w:pStyle w:val="Normal"/>
        <w:ind w:start="720" w:end="0"/>
        <w:rPr/>
      </w:pPr>
      <w:r>
        <w:rPr/>
        <w:t xml:space="preserve">       </w:t>
      </w:r>
      <w:r>
        <w:rPr/>
        <w:t>the auspices that Calpine could more expediently negotiate LCRA’s consent.</w:t>
      </w:r>
    </w:p>
    <w:p>
      <w:pPr>
        <w:pStyle w:val="Normal"/>
        <w:numPr>
          <w:ilvl w:val="0"/>
          <w:numId w:val="7"/>
        </w:numPr>
        <w:tabs>
          <w:tab w:val="clear" w:pos="720"/>
          <w:tab w:val="left" w:pos="0" w:leader="none"/>
        </w:tabs>
        <w:ind w:hanging="360" w:start="1440" w:end="0"/>
        <w:rPr/>
      </w:pPr>
      <w:r>
        <w:rPr/>
        <w:t xml:space="preserve">ERCOT hourly market prices go to $1000/MWhr for some on-peak hours on several days </w:t>
      </w:r>
    </w:p>
    <w:p>
      <w:pPr>
        <w:pStyle w:val="Normal"/>
        <w:rPr/>
      </w:pPr>
      <w:r>
        <w:rPr/>
        <w:t xml:space="preserve">                      </w:t>
      </w:r>
      <w:r>
        <w:rPr/>
        <w:t>following execution of the Letter Agreement. EPMI became concerned that Calpine would</w:t>
      </w:r>
    </w:p>
    <w:p>
      <w:pPr>
        <w:pStyle w:val="Normal"/>
        <w:rPr/>
      </w:pPr>
      <w:r>
        <w:rPr/>
        <w:t xml:space="preserve">                      </w:t>
      </w:r>
      <w:r>
        <w:rPr/>
        <w:t>not aggressively pursue contract assignment due to the blow out. In mid August EPMI notifies</w:t>
      </w:r>
    </w:p>
    <w:p>
      <w:pPr>
        <w:pStyle w:val="Normal"/>
        <w:rPr/>
      </w:pPr>
      <w:r>
        <w:rPr/>
        <w:t xml:space="preserve">                      </w:t>
      </w:r>
      <w:r>
        <w:rPr/>
        <w:t xml:space="preserve">Calpine that it will pick up negotiations with LCRA to obtain their consent for assignment. On </w:t>
      </w:r>
    </w:p>
    <w:p>
      <w:pPr>
        <w:pStyle w:val="Normal"/>
        <w:rPr/>
      </w:pPr>
      <w:r>
        <w:rPr/>
        <w:t xml:space="preserve">                      </w:t>
      </w:r>
      <w:r>
        <w:rPr/>
        <w:t>August 26 EPMI obtains LCRA’s consent to assign the Contract to Calpine Power Services</w:t>
      </w:r>
    </w:p>
    <w:p>
      <w:pPr>
        <w:pStyle w:val="Normal"/>
        <w:rPr/>
      </w:pPr>
      <w:r>
        <w:rPr/>
        <w:t xml:space="preserve">                      </w:t>
      </w:r>
      <w:r>
        <w:rPr/>
        <w:t>conditioned upon a Calpine Corp. Guarantee of CPS’ performance.</w:t>
      </w:r>
    </w:p>
    <w:p>
      <w:pPr>
        <w:pStyle w:val="Normal"/>
        <w:numPr>
          <w:ilvl w:val="0"/>
          <w:numId w:val="8"/>
        </w:numPr>
        <w:tabs>
          <w:tab w:val="clear" w:pos="720"/>
          <w:tab w:val="left" w:pos="0" w:leader="none"/>
        </w:tabs>
        <w:ind w:hanging="360" w:start="1440" w:end="0"/>
        <w:rPr/>
      </w:pPr>
      <w:r>
        <w:rPr/>
        <w:t>August 27: EPMI provides Calpine with an Assignment Agreement and LCRA’s letter of</w:t>
      </w:r>
    </w:p>
    <w:p>
      <w:pPr>
        <w:pStyle w:val="Normal"/>
        <w:ind w:start="720" w:end="0"/>
        <w:rPr/>
      </w:pPr>
      <w:r>
        <w:rPr/>
        <w:t xml:space="preserve">        </w:t>
      </w:r>
      <w:r>
        <w:rPr/>
        <w:t xml:space="preserve">consent and notice of meeting “conditions precedent” under the July 30, 1999 Letter </w:t>
      </w:r>
    </w:p>
    <w:p>
      <w:pPr>
        <w:pStyle w:val="Normal"/>
        <w:ind w:start="720" w:end="0"/>
        <w:rPr/>
      </w:pPr>
      <w:r>
        <w:rPr/>
        <w:t xml:space="preserve">        </w:t>
      </w:r>
      <w:r>
        <w:rPr/>
        <w:t>Agreement. Calpine Power Services rejects EPMI’s assertions. Calpine maintains that the</w:t>
      </w:r>
    </w:p>
    <w:p>
      <w:pPr>
        <w:pStyle w:val="Normal"/>
        <w:ind w:start="720" w:end="0"/>
        <w:rPr/>
      </w:pPr>
      <w:r>
        <w:rPr/>
        <w:t xml:space="preserve">        </w:t>
      </w:r>
      <w:r>
        <w:rPr/>
        <w:t xml:space="preserve">assignment is a fundamentally different transaction from that originally discussed. Calpine </w:t>
      </w:r>
    </w:p>
    <w:p>
      <w:pPr>
        <w:pStyle w:val="Normal"/>
        <w:ind w:start="720" w:end="0"/>
        <w:rPr/>
      </w:pPr>
      <w:r>
        <w:rPr/>
        <w:t xml:space="preserve">        </w:t>
      </w:r>
      <w:r>
        <w:rPr/>
        <w:t xml:space="preserve">asserts that a Calpine Corp. Guarantee is not a part of the contract assignment deal. Calpine </w:t>
      </w:r>
    </w:p>
    <w:p>
      <w:pPr>
        <w:pStyle w:val="Normal"/>
        <w:ind w:start="720" w:end="0"/>
        <w:rPr/>
      </w:pPr>
      <w:r>
        <w:rPr/>
        <w:t xml:space="preserve">        </w:t>
      </w:r>
      <w:r>
        <w:rPr/>
        <w:t>Power Services claimed that (1) it had no contractual obligation to deliver a guaranty in spite</w:t>
      </w:r>
    </w:p>
    <w:p>
      <w:pPr>
        <w:pStyle w:val="Normal"/>
        <w:ind w:start="720" w:end="0"/>
        <w:rPr/>
      </w:pPr>
      <w:r>
        <w:rPr/>
        <w:t xml:space="preserve">        </w:t>
      </w:r>
      <w:r>
        <w:rPr/>
        <w:t xml:space="preserve">of its contractual covenant to use good faith  efforts to secure LCRA’s consent, (2) while it </w:t>
      </w:r>
    </w:p>
    <w:p>
      <w:pPr>
        <w:pStyle w:val="Normal"/>
        <w:ind w:start="720" w:end="0"/>
        <w:rPr/>
      </w:pPr>
      <w:r>
        <w:rPr/>
        <w:t xml:space="preserve">        </w:t>
      </w:r>
      <w:r>
        <w:rPr/>
        <w:t>may generally give a guarantee, it is trying to avoid giving guarantees, (3) a guaranty does not</w:t>
      </w:r>
    </w:p>
    <w:p>
      <w:pPr>
        <w:pStyle w:val="Normal"/>
        <w:ind w:start="720" w:end="0"/>
        <w:rPr/>
      </w:pPr>
      <w:r>
        <w:rPr/>
        <w:t xml:space="preserve">        “</w:t>
      </w:r>
      <w:r>
        <w:rPr/>
        <w:t>cost” it anything, and (4) it did not provide LCRA financial statements of CPSC because</w:t>
      </w:r>
    </w:p>
    <w:p>
      <w:pPr>
        <w:pStyle w:val="Normal"/>
        <w:ind w:start="720" w:end="0"/>
        <w:rPr/>
      </w:pPr>
      <w:r>
        <w:rPr/>
        <w:t xml:space="preserve">        “</w:t>
      </w:r>
      <w:r>
        <w:rPr/>
        <w:t xml:space="preserve">LCRA  never asked for them”.    </w:t>
      </w:r>
    </w:p>
    <w:p>
      <w:pPr>
        <w:pStyle w:val="Normal"/>
        <w:ind w:start="720" w:end="0"/>
        <w:rPr/>
      </w:pPr>
      <w:r>
        <w:rPr/>
        <w:t xml:space="preserve">        </w:t>
      </w:r>
    </w:p>
    <w:p>
      <w:pPr>
        <w:pStyle w:val="Normal"/>
        <w:ind w:start="720" w:end="0"/>
        <w:rPr/>
      </w:pPr>
      <w:r>
        <w:rPr/>
        <w:t xml:space="preserve"> </w:t>
      </w:r>
    </w:p>
    <w:p>
      <w:pPr>
        <w:pStyle w:val="Normal"/>
        <w:ind w:start="720" w:end="0"/>
        <w:rPr/>
      </w:pPr>
      <w:r>
        <w:rPr/>
        <w:tab/>
      </w:r>
    </w:p>
    <w:p>
      <w:pPr>
        <w:pStyle w:val="Normal"/>
        <w:ind w:start="720" w:end="0"/>
        <w:rPr/>
      </w:pPr>
      <w:r>
        <w:rPr/>
        <w:t xml:space="preserve">  </w:t>
      </w:r>
    </w:p>
    <w:p>
      <w:pPr>
        <w:pStyle w:val="Normal"/>
        <w:ind w:start="720" w:end="0"/>
        <w:rPr/>
      </w:pPr>
      <w:r>
        <w:rPr/>
        <w:t xml:space="preserve">        </w:t>
      </w:r>
    </w:p>
    <w:p>
      <w:pPr>
        <w:pStyle w:val="Normal"/>
        <w:ind w:start="720" w:end="0"/>
        <w:rPr/>
      </w:pPr>
      <w:r>
        <w:rPr/>
      </w:r>
    </w:p>
    <w:p>
      <w:pPr>
        <w:pStyle w:val="Normal"/>
        <w:ind w:start="720" w:end="0"/>
        <w:rPr/>
      </w:pPr>
      <w:r>
        <w:rPr/>
      </w:r>
    </w:p>
    <w:p>
      <w:pPr>
        <w:pStyle w:val="Normal"/>
        <w:rPr/>
      </w:pPr>
      <w:r>
        <w:rPr/>
        <w:t xml:space="preserve"> </w:t>
      </w:r>
    </w:p>
    <w:p>
      <w:pPr>
        <w:pStyle w:val="Normal"/>
        <w:ind w:start="915" w:end="0"/>
        <w:rPr/>
      </w:pPr>
      <w:r>
        <w:rPr/>
        <w:t xml:space="preserve"> </w:t>
      </w:r>
    </w:p>
    <w:p>
      <w:pPr>
        <w:pStyle w:val="Normal"/>
        <w:ind w:start="915" w:end="0"/>
        <w:rPr/>
      </w:pPr>
      <w:r>
        <w:rPr/>
      </w:r>
    </w:p>
    <w:p>
      <w:pPr>
        <w:pStyle w:val="Normal"/>
        <w:ind w:start="915" w:end="0"/>
        <w:rPr/>
      </w:pPr>
      <w:r>
        <w:rPr/>
      </w:r>
    </w:p>
    <w:p>
      <w:pPr>
        <w:pStyle w:val="Normal"/>
        <w:ind w:start="720" w:end="0"/>
        <w:rPr/>
      </w:pPr>
      <w:r>
        <w:rPr/>
        <w:t xml:space="preserve"> </w:t>
      </w:r>
    </w:p>
    <w:p>
      <w:pPr>
        <w:pStyle w:val="Normal"/>
        <w:ind w:start="720" w:end="0"/>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ingdings">
    <w:altName w:val="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n"/>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1999-08-31T20:46:00Z</dcterms:created>
  <dc:creator>ECT</dc:creator>
  <dc:description/>
  <dc:language>en-CA</dc:language>
  <cp:lastModifiedBy>ECT</cp:lastModifiedBy>
  <cp:lastPrinted>1999-08-31T17:40:00Z</cp:lastPrinted>
  <dcterms:modified xsi:type="dcterms:W3CDTF">1999-08-31T20:46:00Z</dcterms:modified>
  <cp:revision>2</cp:revision>
  <dc:subject/>
  <dc:title>	Description:</dc:title>
</cp:coreProperties>
</file>