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Laying It On the Line – E-mail Script</w:t>
      </w:r>
    </w:p>
    <w:p>
      <w:pPr>
        <w:pStyle w:val="Normal"/>
        <w:rPr/>
      </w:pPr>
      <w:r>
        <w:rPr/>
      </w:r>
    </w:p>
    <w:p>
      <w:pPr>
        <w:pStyle w:val="Normal"/>
        <w:rPr/>
      </w:pPr>
      <w:r>
        <w:rPr/>
        <w:t>Recently, I asked you to "Lay It On the Line" and tell me what you believe are Enron's most critical issues that should be addressed immediately.  You did, and I want to share the survey results with you and the action steps I, with the help of the new Management Committee, am taking based on your feedback.</w:t>
      </w:r>
    </w:p>
    <w:p>
      <w:pPr>
        <w:pStyle w:val="Normal"/>
        <w:rPr/>
      </w:pPr>
      <w:r>
        <w:rPr/>
      </w:r>
    </w:p>
    <w:p>
      <w:pPr>
        <w:pStyle w:val="Normal"/>
        <w:rPr/>
      </w:pPr>
      <w:r>
        <w:rPr/>
        <w:t>In just three days, more than 4,000 employees completed the survey.  I sincerely appreciate your participation.</w:t>
      </w:r>
    </w:p>
    <w:p>
      <w:pPr>
        <w:pStyle w:val="Normal"/>
        <w:rPr/>
      </w:pPr>
      <w:r>
        <w:rPr/>
      </w:r>
    </w:p>
    <w:p>
      <w:pPr>
        <w:pStyle w:val="Normal"/>
        <w:rPr/>
      </w:pPr>
      <w:r>
        <w:rPr/>
        <w:t>We asked you to identify the top five issues facing Enron today, and you said:</w:t>
      </w:r>
    </w:p>
    <w:p>
      <w:pPr>
        <w:pStyle w:val="Normal"/>
        <w:rPr/>
      </w:pPr>
      <w:r>
        <w:rPr/>
      </w:r>
    </w:p>
    <w:p>
      <w:pPr>
        <w:pStyle w:val="Normal"/>
        <w:numPr>
          <w:ilvl w:val="0"/>
          <w:numId w:val="6"/>
        </w:numPr>
        <w:tabs>
          <w:tab w:val="clear" w:pos="720"/>
        </w:tabs>
        <w:ind w:hanging="360" w:start="720" w:end="0"/>
        <w:rPr>
          <w:b/>
          <w:bCs/>
        </w:rPr>
      </w:pPr>
      <w:r>
        <w:rPr>
          <w:b/>
          <w:bCs/>
        </w:rPr>
        <w:t>Stock price</w:t>
      </w:r>
    </w:p>
    <w:p>
      <w:pPr>
        <w:pStyle w:val="Normal"/>
        <w:numPr>
          <w:ilvl w:val="0"/>
          <w:numId w:val="6"/>
        </w:numPr>
        <w:tabs>
          <w:tab w:val="clear" w:pos="720"/>
        </w:tabs>
        <w:ind w:hanging="360" w:start="720" w:end="0"/>
        <w:rPr>
          <w:b/>
          <w:bCs/>
        </w:rPr>
      </w:pPr>
      <w:r>
        <w:rPr>
          <w:b/>
          <w:bCs/>
        </w:rPr>
        <w:t>Employee/internal morale</w:t>
      </w:r>
    </w:p>
    <w:p>
      <w:pPr>
        <w:pStyle w:val="Normal"/>
        <w:numPr>
          <w:ilvl w:val="0"/>
          <w:numId w:val="6"/>
        </w:numPr>
        <w:tabs>
          <w:tab w:val="clear" w:pos="720"/>
        </w:tabs>
        <w:ind w:hanging="360" w:start="720" w:end="0"/>
        <w:rPr>
          <w:b/>
          <w:bCs/>
        </w:rPr>
      </w:pPr>
      <w:r>
        <w:rPr>
          <w:b/>
          <w:bCs/>
        </w:rPr>
        <w:t>The PRC</w:t>
      </w:r>
    </w:p>
    <w:p>
      <w:pPr>
        <w:pStyle w:val="Normal"/>
        <w:numPr>
          <w:ilvl w:val="0"/>
          <w:numId w:val="6"/>
        </w:numPr>
        <w:tabs>
          <w:tab w:val="clear" w:pos="720"/>
        </w:tabs>
        <w:ind w:hanging="360" w:start="720" w:end="0"/>
        <w:rPr>
          <w:b/>
          <w:bCs/>
        </w:rPr>
      </w:pPr>
      <w:r>
        <w:rPr>
          <w:b/>
          <w:bCs/>
        </w:rPr>
        <w:t>External reputation and image</w:t>
      </w:r>
    </w:p>
    <w:p>
      <w:pPr>
        <w:pStyle w:val="Normal"/>
        <w:numPr>
          <w:ilvl w:val="0"/>
          <w:numId w:val="6"/>
        </w:numPr>
        <w:tabs>
          <w:tab w:val="clear" w:pos="720"/>
        </w:tabs>
        <w:ind w:hanging="360" w:start="720" w:end="0"/>
        <w:rPr>
          <w:b/>
          <w:bCs/>
        </w:rPr>
      </w:pPr>
      <w:r>
        <w:rPr>
          <w:b/>
          <w:bCs/>
        </w:rPr>
        <w:t>"Walking the talk" of integrity and respect</w:t>
      </w:r>
    </w:p>
    <w:p>
      <w:pPr>
        <w:pStyle w:val="Normal"/>
        <w:rPr>
          <w:b/>
          <w:bCs/>
        </w:rPr>
      </w:pPr>
      <w:r>
        <w:rPr>
          <w:b/>
          <w:bCs/>
        </w:rPr>
      </w:r>
    </w:p>
    <w:p>
      <w:pPr>
        <w:pStyle w:val="Normal"/>
        <w:rPr/>
      </w:pPr>
      <w:r>
        <w:rPr/>
        <w:t>We asked you: To what extent do you agree with these statements?</w:t>
      </w:r>
    </w:p>
    <w:p>
      <w:pPr>
        <w:pStyle w:val="Normal"/>
        <w:rPr/>
      </w:pPr>
      <w:r>
        <w:rPr/>
      </w:r>
    </w:p>
    <w:tbl>
      <w:tblPr>
        <w:tblW w:w="8748" w:type="dxa"/>
        <w:jc w:val="start"/>
        <w:tblInd w:w="0" w:type="dxa"/>
        <w:tblLayout w:type="fixed"/>
        <w:tblCellMar>
          <w:top w:w="0" w:type="dxa"/>
          <w:start w:w="108" w:type="dxa"/>
          <w:bottom w:w="0" w:type="dxa"/>
          <w:end w:w="108" w:type="dxa"/>
        </w:tblCellMar>
      </w:tblPr>
      <w:tblGrid>
        <w:gridCol w:w="7200"/>
        <w:gridCol w:w="1548"/>
      </w:tblGrid>
      <w:tr>
        <w:trPr/>
        <w:tc>
          <w:tcPr>
            <w:tcW w:w="8748" w:type="dxa"/>
            <w:gridSpan w:val="2"/>
            <w:tcBorders/>
          </w:tcPr>
          <w:p>
            <w:pPr>
              <w:pStyle w:val="Normal"/>
              <w:jc w:val="end"/>
              <w:rPr>
                <w:sz w:val="22"/>
              </w:rPr>
            </w:pPr>
            <w:r>
              <w:rPr>
                <w:sz w:val="22"/>
              </w:rPr>
              <w:t>% of employees with</w:t>
            </w:r>
          </w:p>
          <w:p>
            <w:pPr>
              <w:pStyle w:val="Normal"/>
              <w:jc w:val="end"/>
              <w:rPr/>
            </w:pPr>
            <w:r>
              <w:rPr>
                <w:sz w:val="22"/>
              </w:rPr>
              <w:t>a favorable response</w:t>
            </w:r>
            <w:r>
              <w:rPr/>
              <w:t>:</w:t>
            </w:r>
          </w:p>
        </w:tc>
      </w:tr>
      <w:tr>
        <w:trPr/>
        <w:tc>
          <w:tcPr>
            <w:tcW w:w="7200" w:type="dxa"/>
            <w:tcBorders/>
          </w:tcPr>
          <w:p>
            <w:pPr>
              <w:pStyle w:val="Normal"/>
              <w:spacing w:before="120" w:after="0"/>
              <w:rPr>
                <w:i/>
                <w:i/>
                <w:iCs/>
              </w:rPr>
            </w:pPr>
            <w:r>
              <w:rPr>
                <w:i/>
                <w:iCs/>
              </w:rPr>
              <w:t>Enron is a company I would invest my money in.</w:t>
            </w:r>
          </w:p>
        </w:tc>
        <w:tc>
          <w:tcPr>
            <w:tcW w:w="1548" w:type="dxa"/>
            <w:tcBorders/>
          </w:tcPr>
          <w:p>
            <w:pPr>
              <w:pStyle w:val="Normal"/>
              <w:spacing w:before="120" w:after="0"/>
              <w:rPr/>
            </w:pPr>
            <w:r>
              <w:rPr/>
              <w:t>60.1%</w:t>
            </w:r>
          </w:p>
        </w:tc>
      </w:tr>
      <w:tr>
        <w:trPr/>
        <w:tc>
          <w:tcPr>
            <w:tcW w:w="7200" w:type="dxa"/>
            <w:tcBorders/>
          </w:tcPr>
          <w:p>
            <w:pPr>
              <w:pStyle w:val="Normal"/>
              <w:spacing w:before="120" w:after="0"/>
              <w:rPr>
                <w:i/>
                <w:i/>
                <w:iCs/>
              </w:rPr>
            </w:pPr>
            <w:r>
              <w:rPr>
                <w:i/>
                <w:iCs/>
              </w:rPr>
              <w:t>I would recommend Enron as a place to work for friends and family.</w:t>
            </w:r>
          </w:p>
        </w:tc>
        <w:tc>
          <w:tcPr>
            <w:tcW w:w="1548" w:type="dxa"/>
            <w:tcBorders/>
          </w:tcPr>
          <w:p>
            <w:pPr>
              <w:pStyle w:val="Normal"/>
              <w:spacing w:before="120" w:after="0"/>
              <w:rPr/>
            </w:pPr>
            <w:r>
              <w:rPr/>
              <w:t>59.1%</w:t>
            </w:r>
          </w:p>
        </w:tc>
      </w:tr>
      <w:tr>
        <w:trPr/>
        <w:tc>
          <w:tcPr>
            <w:tcW w:w="7200" w:type="dxa"/>
            <w:tcBorders/>
          </w:tcPr>
          <w:p>
            <w:pPr>
              <w:pStyle w:val="Normal"/>
              <w:spacing w:before="120" w:after="0"/>
              <w:rPr>
                <w:i/>
                <w:i/>
                <w:iCs/>
              </w:rPr>
            </w:pPr>
            <w:r>
              <w:rPr>
                <w:i/>
                <w:iCs/>
              </w:rPr>
              <w:t>I am treated with respect.</w:t>
            </w:r>
          </w:p>
        </w:tc>
        <w:tc>
          <w:tcPr>
            <w:tcW w:w="1548" w:type="dxa"/>
            <w:tcBorders/>
          </w:tcPr>
          <w:p>
            <w:pPr>
              <w:pStyle w:val="Normal"/>
              <w:spacing w:before="120" w:after="0"/>
              <w:rPr/>
            </w:pPr>
            <w:r>
              <w:rPr/>
              <w:t>60.0%</w:t>
            </w:r>
          </w:p>
        </w:tc>
      </w:tr>
      <w:tr>
        <w:trPr/>
        <w:tc>
          <w:tcPr>
            <w:tcW w:w="7200" w:type="dxa"/>
            <w:tcBorders/>
          </w:tcPr>
          <w:p>
            <w:pPr>
              <w:pStyle w:val="Normal"/>
              <w:spacing w:before="120" w:after="0"/>
              <w:rPr>
                <w:i/>
                <w:i/>
                <w:iCs/>
              </w:rPr>
            </w:pPr>
            <w:r>
              <w:rPr>
                <w:i/>
                <w:iCs/>
              </w:rPr>
              <w:t>Executive management has a clear view of where Enron is going and how to get there.</w:t>
            </w:r>
          </w:p>
        </w:tc>
        <w:tc>
          <w:tcPr>
            <w:tcW w:w="1548" w:type="dxa"/>
            <w:tcBorders/>
          </w:tcPr>
          <w:p>
            <w:pPr>
              <w:pStyle w:val="Normal"/>
              <w:spacing w:before="120" w:after="0"/>
              <w:rPr/>
            </w:pPr>
            <w:r>
              <w:rPr/>
              <w:t>41.6%</w:t>
            </w:r>
          </w:p>
        </w:tc>
      </w:tr>
      <w:tr>
        <w:trPr/>
        <w:tc>
          <w:tcPr>
            <w:tcW w:w="7200" w:type="dxa"/>
            <w:tcBorders/>
          </w:tcPr>
          <w:p>
            <w:pPr>
              <w:pStyle w:val="Normal"/>
              <w:spacing w:before="120" w:after="0"/>
              <w:rPr>
                <w:i/>
                <w:i/>
                <w:iCs/>
              </w:rPr>
            </w:pPr>
            <w:r>
              <w:rPr>
                <w:i/>
                <w:iCs/>
              </w:rPr>
              <w:t>My immediate supervisor has a clear view of where Enron is going and how to get there.</w:t>
            </w:r>
          </w:p>
        </w:tc>
        <w:tc>
          <w:tcPr>
            <w:tcW w:w="1548" w:type="dxa"/>
            <w:tcBorders/>
          </w:tcPr>
          <w:p>
            <w:pPr>
              <w:pStyle w:val="Normal"/>
              <w:spacing w:before="120" w:after="0"/>
              <w:rPr/>
            </w:pPr>
            <w:r>
              <w:rPr/>
              <w:t>46.6%</w:t>
            </w:r>
          </w:p>
        </w:tc>
      </w:tr>
      <w:tr>
        <w:trPr/>
        <w:tc>
          <w:tcPr>
            <w:tcW w:w="7200" w:type="dxa"/>
            <w:tcBorders/>
          </w:tcPr>
          <w:p>
            <w:pPr>
              <w:pStyle w:val="Normal"/>
              <w:spacing w:before="120" w:after="0"/>
              <w:rPr>
                <w:i/>
                <w:i/>
                <w:iCs/>
              </w:rPr>
            </w:pPr>
            <w:r>
              <w:rPr>
                <w:i/>
                <w:iCs/>
              </w:rPr>
              <w:t>I have talents and skills that Enron is not fully utilizing.</w:t>
            </w:r>
          </w:p>
        </w:tc>
        <w:tc>
          <w:tcPr>
            <w:tcW w:w="1548" w:type="dxa"/>
            <w:tcBorders/>
          </w:tcPr>
          <w:p>
            <w:pPr>
              <w:pStyle w:val="Normal"/>
              <w:spacing w:before="120" w:after="0"/>
              <w:rPr/>
            </w:pPr>
            <w:r>
              <w:rPr/>
              <w:t>45.3.%</w:t>
            </w:r>
          </w:p>
        </w:tc>
      </w:tr>
      <w:tr>
        <w:trPr/>
        <w:tc>
          <w:tcPr>
            <w:tcW w:w="7200" w:type="dxa"/>
            <w:tcBorders/>
          </w:tcPr>
          <w:p>
            <w:pPr>
              <w:pStyle w:val="Normal"/>
              <w:spacing w:before="120" w:after="0"/>
              <w:rPr>
                <w:i/>
                <w:i/>
                <w:iCs/>
              </w:rPr>
            </w:pPr>
            <w:r>
              <w:rPr>
                <w:i/>
                <w:iCs/>
              </w:rPr>
              <w:t>Enron truly encourages people to take risks.</w:t>
            </w:r>
          </w:p>
        </w:tc>
        <w:tc>
          <w:tcPr>
            <w:tcW w:w="1548" w:type="dxa"/>
            <w:tcBorders/>
          </w:tcPr>
          <w:p>
            <w:pPr>
              <w:pStyle w:val="Normal"/>
              <w:spacing w:before="120" w:after="0"/>
              <w:rPr/>
            </w:pPr>
            <w:r>
              <w:rPr/>
              <w:t>47.5%</w:t>
            </w:r>
          </w:p>
        </w:tc>
      </w:tr>
      <w:tr>
        <w:trPr/>
        <w:tc>
          <w:tcPr>
            <w:tcW w:w="7200" w:type="dxa"/>
            <w:tcBorders/>
          </w:tcPr>
          <w:p>
            <w:pPr>
              <w:pStyle w:val="Normal"/>
              <w:spacing w:before="120" w:after="0"/>
              <w:rPr>
                <w:i/>
                <w:i/>
                <w:iCs/>
              </w:rPr>
            </w:pPr>
            <w:r>
              <w:rPr>
                <w:i/>
                <w:iCs/>
              </w:rPr>
              <w:t>I am committed to staying at Enron.</w:t>
            </w:r>
          </w:p>
        </w:tc>
        <w:tc>
          <w:tcPr>
            <w:tcW w:w="1548" w:type="dxa"/>
            <w:tcBorders/>
          </w:tcPr>
          <w:p>
            <w:pPr>
              <w:pStyle w:val="Normal"/>
              <w:spacing w:before="120" w:after="0"/>
              <w:rPr/>
            </w:pPr>
            <w:r>
              <w:rPr/>
              <w:t>64.1%</w:t>
            </w:r>
          </w:p>
        </w:tc>
      </w:tr>
    </w:tbl>
    <w:p>
      <w:pPr>
        <w:pStyle w:val="Normal"/>
        <w:rPr/>
      </w:pPr>
      <w:r>
        <w:rPr/>
      </w:r>
    </w:p>
    <w:p>
      <w:pPr>
        <w:pStyle w:val="Normal"/>
        <w:rPr/>
      </w:pPr>
      <w:r>
        <w:rPr/>
        <w:t>We asked you: Comparing 2001 to 2000, to what extent would you associate these attributes to Enron?</w:t>
      </w:r>
    </w:p>
    <w:p>
      <w:pPr>
        <w:pStyle w:val="Normal"/>
        <w:rPr/>
      </w:pPr>
      <w:r>
        <w:rPr/>
      </w:r>
    </w:p>
    <w:tbl>
      <w:tblPr>
        <w:tblW w:w="7056" w:type="dxa"/>
        <w:jc w:val="start"/>
        <w:tblInd w:w="0" w:type="dxa"/>
        <w:tblLayout w:type="fixed"/>
        <w:tblCellMar>
          <w:top w:w="0" w:type="dxa"/>
          <w:start w:w="108" w:type="dxa"/>
          <w:bottom w:w="0" w:type="dxa"/>
          <w:end w:w="108" w:type="dxa"/>
        </w:tblCellMar>
      </w:tblPr>
      <w:tblGrid>
        <w:gridCol w:w="3024"/>
        <w:gridCol w:w="1008"/>
        <w:gridCol w:w="1008"/>
        <w:gridCol w:w="1008"/>
        <w:gridCol w:w="1008"/>
      </w:tblGrid>
      <w:tr>
        <w:trPr/>
        <w:tc>
          <w:tcPr>
            <w:tcW w:w="3024" w:type="dxa"/>
            <w:tcBorders/>
          </w:tcPr>
          <w:p>
            <w:pPr>
              <w:pStyle w:val="Normal"/>
              <w:snapToGrid w:val="false"/>
              <w:rPr/>
            </w:pPr>
            <w:r>
              <w:rPr/>
            </w:r>
          </w:p>
        </w:tc>
        <w:tc>
          <w:tcPr>
            <w:tcW w:w="1008" w:type="dxa"/>
            <w:tcBorders/>
          </w:tcPr>
          <w:p>
            <w:pPr>
              <w:pStyle w:val="Heading1"/>
              <w:ind w:hanging="0" w:start="0"/>
              <w:rPr>
                <w:caps w:val="false"/>
                <w:smallCaps w:val="false"/>
              </w:rPr>
            </w:pPr>
            <w:r>
              <w:rPr>
                <w:caps w:val="false"/>
                <w:smallCaps w:val="false"/>
              </w:rPr>
              <w:t>More</w:t>
            </w:r>
          </w:p>
        </w:tc>
        <w:tc>
          <w:tcPr>
            <w:tcW w:w="1008" w:type="dxa"/>
            <w:tcBorders/>
          </w:tcPr>
          <w:p>
            <w:pPr>
              <w:pStyle w:val="Normal"/>
              <w:rPr>
                <w:b/>
                <w:bCs/>
              </w:rPr>
            </w:pPr>
            <w:r>
              <w:rPr>
                <w:b/>
                <w:bCs/>
              </w:rPr>
              <w:t>Same</w:t>
            </w:r>
          </w:p>
        </w:tc>
        <w:tc>
          <w:tcPr>
            <w:tcW w:w="1008" w:type="dxa"/>
            <w:tcBorders/>
          </w:tcPr>
          <w:p>
            <w:pPr>
              <w:pStyle w:val="Normal"/>
              <w:rPr>
                <w:b/>
                <w:bCs/>
              </w:rPr>
            </w:pPr>
            <w:r>
              <w:rPr>
                <w:b/>
                <w:bCs/>
              </w:rPr>
              <w:t>Less</w:t>
            </w:r>
          </w:p>
        </w:tc>
        <w:tc>
          <w:tcPr>
            <w:tcW w:w="1008" w:type="dxa"/>
            <w:tcBorders/>
          </w:tcPr>
          <w:p>
            <w:pPr>
              <w:pStyle w:val="Normal"/>
              <w:rPr>
                <w:b/>
                <w:bCs/>
              </w:rPr>
            </w:pPr>
            <w:r>
              <w:rPr>
                <w:b/>
                <w:bCs/>
              </w:rPr>
              <w:t>N/A</w:t>
            </w:r>
          </w:p>
        </w:tc>
      </w:tr>
      <w:tr>
        <w:trPr/>
        <w:tc>
          <w:tcPr>
            <w:tcW w:w="3024" w:type="dxa"/>
            <w:tcBorders/>
          </w:tcPr>
          <w:p>
            <w:pPr>
              <w:pStyle w:val="Heading2"/>
              <w:spacing w:before="120" w:after="0"/>
              <w:ind w:hanging="0" w:start="0"/>
              <w:rPr/>
            </w:pPr>
            <w:r>
              <w:rPr/>
              <w:t>Entrepreneurial</w:t>
            </w:r>
          </w:p>
        </w:tc>
        <w:tc>
          <w:tcPr>
            <w:tcW w:w="1008" w:type="dxa"/>
            <w:tcBorders/>
          </w:tcPr>
          <w:p>
            <w:pPr>
              <w:pStyle w:val="Normal"/>
              <w:spacing w:before="120" w:after="0"/>
              <w:rPr/>
            </w:pPr>
            <w:r>
              <w:rPr/>
              <w:t>28.5%</w:t>
            </w:r>
          </w:p>
        </w:tc>
        <w:tc>
          <w:tcPr>
            <w:tcW w:w="1008" w:type="dxa"/>
            <w:tcBorders/>
          </w:tcPr>
          <w:p>
            <w:pPr>
              <w:pStyle w:val="Normal"/>
              <w:spacing w:before="120" w:after="0"/>
              <w:rPr/>
            </w:pPr>
            <w:r>
              <w:rPr/>
              <w:t>37.8%</w:t>
            </w:r>
          </w:p>
        </w:tc>
        <w:tc>
          <w:tcPr>
            <w:tcW w:w="1008" w:type="dxa"/>
            <w:tcBorders/>
          </w:tcPr>
          <w:p>
            <w:pPr>
              <w:pStyle w:val="Normal"/>
              <w:spacing w:before="120" w:after="0"/>
              <w:rPr/>
            </w:pPr>
            <w:r>
              <w:rPr/>
              <w:t>23.7%</w:t>
            </w:r>
          </w:p>
        </w:tc>
        <w:tc>
          <w:tcPr>
            <w:tcW w:w="1008" w:type="dxa"/>
            <w:tcBorders/>
          </w:tcPr>
          <w:p>
            <w:pPr>
              <w:pStyle w:val="Normal"/>
              <w:spacing w:before="120" w:after="0"/>
              <w:rPr/>
            </w:pPr>
            <w:r>
              <w:rPr/>
              <w:t>10.0%</w:t>
            </w:r>
          </w:p>
        </w:tc>
      </w:tr>
      <w:tr>
        <w:trPr/>
        <w:tc>
          <w:tcPr>
            <w:tcW w:w="3024" w:type="dxa"/>
            <w:tcBorders/>
          </w:tcPr>
          <w:p>
            <w:pPr>
              <w:pStyle w:val="Normal"/>
              <w:spacing w:before="120" w:after="0"/>
              <w:rPr>
                <w:i/>
                <w:i/>
                <w:iCs/>
              </w:rPr>
            </w:pPr>
            <w:r>
              <w:rPr>
                <w:i/>
                <w:iCs/>
              </w:rPr>
              <w:t>Innovative</w:t>
            </w:r>
          </w:p>
        </w:tc>
        <w:tc>
          <w:tcPr>
            <w:tcW w:w="1008" w:type="dxa"/>
            <w:tcBorders/>
          </w:tcPr>
          <w:p>
            <w:pPr>
              <w:pStyle w:val="Normal"/>
              <w:spacing w:before="120" w:after="0"/>
              <w:rPr/>
            </w:pPr>
            <w:r>
              <w:rPr/>
              <w:t>30.8%</w:t>
            </w:r>
          </w:p>
        </w:tc>
        <w:tc>
          <w:tcPr>
            <w:tcW w:w="1008" w:type="dxa"/>
            <w:tcBorders/>
          </w:tcPr>
          <w:p>
            <w:pPr>
              <w:pStyle w:val="Normal"/>
              <w:spacing w:before="120" w:after="0"/>
              <w:rPr/>
            </w:pPr>
            <w:r>
              <w:rPr/>
              <w:t>35.7%</w:t>
            </w:r>
          </w:p>
        </w:tc>
        <w:tc>
          <w:tcPr>
            <w:tcW w:w="1008" w:type="dxa"/>
            <w:tcBorders/>
          </w:tcPr>
          <w:p>
            <w:pPr>
              <w:pStyle w:val="Normal"/>
              <w:spacing w:before="120" w:after="0"/>
              <w:rPr/>
            </w:pPr>
            <w:r>
              <w:rPr/>
              <w:t>24.6%</w:t>
            </w:r>
          </w:p>
        </w:tc>
        <w:tc>
          <w:tcPr>
            <w:tcW w:w="1008" w:type="dxa"/>
            <w:tcBorders/>
          </w:tcPr>
          <w:p>
            <w:pPr>
              <w:pStyle w:val="Normal"/>
              <w:spacing w:before="120" w:after="0"/>
              <w:rPr/>
            </w:pPr>
            <w:r>
              <w:rPr/>
              <w:t>8.9%</w:t>
            </w:r>
          </w:p>
        </w:tc>
      </w:tr>
      <w:tr>
        <w:trPr/>
        <w:tc>
          <w:tcPr>
            <w:tcW w:w="3024" w:type="dxa"/>
            <w:tcBorders/>
          </w:tcPr>
          <w:p>
            <w:pPr>
              <w:pStyle w:val="Normal"/>
              <w:spacing w:before="120" w:after="0"/>
              <w:rPr>
                <w:i/>
                <w:i/>
                <w:iCs/>
              </w:rPr>
            </w:pPr>
            <w:r>
              <w:rPr>
                <w:i/>
                <w:iCs/>
              </w:rPr>
              <w:t>Self-serving</w:t>
            </w:r>
          </w:p>
        </w:tc>
        <w:tc>
          <w:tcPr>
            <w:tcW w:w="1008" w:type="dxa"/>
            <w:tcBorders/>
          </w:tcPr>
          <w:p>
            <w:pPr>
              <w:pStyle w:val="Normal"/>
              <w:spacing w:before="120" w:after="0"/>
              <w:rPr/>
            </w:pPr>
            <w:r>
              <w:rPr/>
              <w:t>41.9%</w:t>
            </w:r>
          </w:p>
        </w:tc>
        <w:tc>
          <w:tcPr>
            <w:tcW w:w="1008" w:type="dxa"/>
            <w:tcBorders/>
          </w:tcPr>
          <w:p>
            <w:pPr>
              <w:pStyle w:val="Normal"/>
              <w:spacing w:before="120" w:after="0"/>
              <w:rPr/>
            </w:pPr>
            <w:r>
              <w:rPr/>
              <w:t>38.6%</w:t>
            </w:r>
          </w:p>
        </w:tc>
        <w:tc>
          <w:tcPr>
            <w:tcW w:w="1008" w:type="dxa"/>
            <w:tcBorders/>
          </w:tcPr>
          <w:p>
            <w:pPr>
              <w:pStyle w:val="Normal"/>
              <w:spacing w:before="120" w:after="0"/>
              <w:rPr/>
            </w:pPr>
            <w:r>
              <w:rPr/>
              <w:t>7.5%</w:t>
            </w:r>
          </w:p>
        </w:tc>
        <w:tc>
          <w:tcPr>
            <w:tcW w:w="1008" w:type="dxa"/>
            <w:tcBorders/>
          </w:tcPr>
          <w:p>
            <w:pPr>
              <w:pStyle w:val="Normal"/>
              <w:spacing w:before="120" w:after="0"/>
              <w:rPr/>
            </w:pPr>
            <w:r>
              <w:rPr/>
              <w:t>12.0%</w:t>
            </w:r>
          </w:p>
        </w:tc>
      </w:tr>
      <w:tr>
        <w:trPr/>
        <w:tc>
          <w:tcPr>
            <w:tcW w:w="3024" w:type="dxa"/>
            <w:tcBorders/>
          </w:tcPr>
          <w:p>
            <w:pPr>
              <w:pStyle w:val="Normal"/>
              <w:spacing w:before="120" w:after="0"/>
              <w:rPr>
                <w:i/>
                <w:i/>
                <w:iCs/>
              </w:rPr>
            </w:pPr>
            <w:r>
              <w:rPr>
                <w:i/>
                <w:iCs/>
              </w:rPr>
              <w:t>Ethical</w:t>
            </w:r>
          </w:p>
        </w:tc>
        <w:tc>
          <w:tcPr>
            <w:tcW w:w="1008" w:type="dxa"/>
            <w:tcBorders/>
          </w:tcPr>
          <w:p>
            <w:pPr>
              <w:pStyle w:val="Normal"/>
              <w:spacing w:before="120" w:after="0"/>
              <w:rPr/>
            </w:pPr>
            <w:r>
              <w:rPr/>
              <w:t>17.0%</w:t>
            </w:r>
          </w:p>
        </w:tc>
        <w:tc>
          <w:tcPr>
            <w:tcW w:w="1008" w:type="dxa"/>
            <w:tcBorders/>
          </w:tcPr>
          <w:p>
            <w:pPr>
              <w:pStyle w:val="Normal"/>
              <w:spacing w:before="120" w:after="0"/>
              <w:rPr/>
            </w:pPr>
            <w:r>
              <w:rPr/>
              <w:t>45.1%</w:t>
            </w:r>
          </w:p>
        </w:tc>
        <w:tc>
          <w:tcPr>
            <w:tcW w:w="1008" w:type="dxa"/>
            <w:tcBorders/>
          </w:tcPr>
          <w:p>
            <w:pPr>
              <w:pStyle w:val="Normal"/>
              <w:spacing w:before="120" w:after="0"/>
              <w:rPr/>
            </w:pPr>
            <w:r>
              <w:rPr/>
              <w:t>28.1%</w:t>
            </w:r>
          </w:p>
        </w:tc>
        <w:tc>
          <w:tcPr>
            <w:tcW w:w="1008" w:type="dxa"/>
            <w:tcBorders/>
          </w:tcPr>
          <w:p>
            <w:pPr>
              <w:pStyle w:val="Normal"/>
              <w:spacing w:before="120" w:after="0"/>
              <w:rPr/>
            </w:pPr>
            <w:r>
              <w:rPr/>
              <w:t>9.8%</w:t>
            </w:r>
          </w:p>
        </w:tc>
      </w:tr>
      <w:tr>
        <w:trPr/>
        <w:tc>
          <w:tcPr>
            <w:tcW w:w="3024" w:type="dxa"/>
            <w:tcBorders/>
          </w:tcPr>
          <w:p>
            <w:pPr>
              <w:pStyle w:val="Normal"/>
              <w:spacing w:before="120" w:after="0"/>
              <w:rPr>
                <w:i/>
                <w:i/>
                <w:iCs/>
              </w:rPr>
            </w:pPr>
            <w:r>
              <w:rPr>
                <w:i/>
                <w:iCs/>
              </w:rPr>
              <w:t>Trustworthy</w:t>
            </w:r>
          </w:p>
        </w:tc>
        <w:tc>
          <w:tcPr>
            <w:tcW w:w="1008" w:type="dxa"/>
            <w:tcBorders/>
          </w:tcPr>
          <w:p>
            <w:pPr>
              <w:pStyle w:val="Normal"/>
              <w:spacing w:before="120" w:after="0"/>
              <w:rPr/>
            </w:pPr>
            <w:r>
              <w:rPr/>
              <w:t>14.9%</w:t>
            </w:r>
          </w:p>
        </w:tc>
        <w:tc>
          <w:tcPr>
            <w:tcW w:w="1008" w:type="dxa"/>
            <w:tcBorders/>
          </w:tcPr>
          <w:p>
            <w:pPr>
              <w:pStyle w:val="Normal"/>
              <w:spacing w:before="120" w:after="0"/>
              <w:rPr/>
            </w:pPr>
            <w:r>
              <w:rPr/>
              <w:t>39.0%</w:t>
            </w:r>
          </w:p>
        </w:tc>
        <w:tc>
          <w:tcPr>
            <w:tcW w:w="1008" w:type="dxa"/>
            <w:tcBorders/>
          </w:tcPr>
          <w:p>
            <w:pPr>
              <w:pStyle w:val="Normal"/>
              <w:spacing w:before="120" w:after="0"/>
              <w:rPr/>
            </w:pPr>
            <w:r>
              <w:rPr/>
              <w:t>36.9%</w:t>
            </w:r>
          </w:p>
        </w:tc>
        <w:tc>
          <w:tcPr>
            <w:tcW w:w="1008" w:type="dxa"/>
            <w:tcBorders/>
          </w:tcPr>
          <w:p>
            <w:pPr>
              <w:pStyle w:val="Normal"/>
              <w:spacing w:before="120" w:after="0"/>
              <w:rPr/>
            </w:pPr>
            <w:r>
              <w:rPr/>
              <w:t>9.2%</w:t>
            </w:r>
          </w:p>
        </w:tc>
      </w:tr>
      <w:tr>
        <w:trPr/>
        <w:tc>
          <w:tcPr>
            <w:tcW w:w="3024" w:type="dxa"/>
            <w:tcBorders/>
          </w:tcPr>
          <w:p>
            <w:pPr>
              <w:pStyle w:val="Normal"/>
              <w:spacing w:before="120" w:after="0"/>
              <w:rPr>
                <w:i/>
                <w:i/>
                <w:iCs/>
              </w:rPr>
            </w:pPr>
            <w:r>
              <w:rPr>
                <w:i/>
                <w:iCs/>
              </w:rPr>
              <w:t>Concerned for communities</w:t>
            </w:r>
          </w:p>
        </w:tc>
        <w:tc>
          <w:tcPr>
            <w:tcW w:w="1008" w:type="dxa"/>
            <w:tcBorders/>
          </w:tcPr>
          <w:p>
            <w:pPr>
              <w:pStyle w:val="Normal"/>
              <w:spacing w:before="120" w:after="0"/>
              <w:rPr/>
            </w:pPr>
            <w:r>
              <w:rPr/>
              <w:t>34.5%</w:t>
            </w:r>
          </w:p>
        </w:tc>
        <w:tc>
          <w:tcPr>
            <w:tcW w:w="1008" w:type="dxa"/>
            <w:tcBorders/>
          </w:tcPr>
          <w:p>
            <w:pPr>
              <w:pStyle w:val="Normal"/>
              <w:spacing w:before="120" w:after="0"/>
              <w:rPr/>
            </w:pPr>
            <w:r>
              <w:rPr/>
              <w:t>44.9%</w:t>
            </w:r>
          </w:p>
        </w:tc>
        <w:tc>
          <w:tcPr>
            <w:tcW w:w="1008" w:type="dxa"/>
            <w:tcBorders/>
          </w:tcPr>
          <w:p>
            <w:pPr>
              <w:pStyle w:val="Normal"/>
              <w:spacing w:before="120" w:after="0"/>
              <w:rPr/>
            </w:pPr>
            <w:r>
              <w:rPr/>
              <w:t>10.3%</w:t>
            </w:r>
          </w:p>
        </w:tc>
        <w:tc>
          <w:tcPr>
            <w:tcW w:w="1008" w:type="dxa"/>
            <w:tcBorders/>
          </w:tcPr>
          <w:p>
            <w:pPr>
              <w:pStyle w:val="Normal"/>
              <w:spacing w:before="120" w:after="0"/>
              <w:rPr/>
            </w:pPr>
            <w:r>
              <w:rPr/>
              <w:t>10.3%</w:t>
            </w:r>
          </w:p>
        </w:tc>
      </w:tr>
      <w:tr>
        <w:trPr/>
        <w:tc>
          <w:tcPr>
            <w:tcW w:w="3024" w:type="dxa"/>
            <w:tcBorders/>
          </w:tcPr>
          <w:p>
            <w:pPr>
              <w:pStyle w:val="Normal"/>
              <w:spacing w:before="120" w:after="0"/>
              <w:rPr>
                <w:i/>
                <w:i/>
                <w:iCs/>
              </w:rPr>
            </w:pPr>
            <w:r>
              <w:rPr>
                <w:i/>
                <w:iCs/>
              </w:rPr>
              <w:t>Arrogant</w:t>
            </w:r>
          </w:p>
        </w:tc>
        <w:tc>
          <w:tcPr>
            <w:tcW w:w="1008" w:type="dxa"/>
            <w:tcBorders/>
          </w:tcPr>
          <w:p>
            <w:pPr>
              <w:pStyle w:val="Normal"/>
              <w:spacing w:before="120" w:after="0"/>
              <w:rPr/>
            </w:pPr>
            <w:r>
              <w:rPr/>
              <w:t>39.1%</w:t>
            </w:r>
          </w:p>
        </w:tc>
        <w:tc>
          <w:tcPr>
            <w:tcW w:w="1008" w:type="dxa"/>
            <w:tcBorders/>
          </w:tcPr>
          <w:p>
            <w:pPr>
              <w:pStyle w:val="Normal"/>
              <w:spacing w:before="120" w:after="0"/>
              <w:rPr/>
            </w:pPr>
            <w:r>
              <w:rPr/>
              <w:t>32.4%</w:t>
            </w:r>
          </w:p>
        </w:tc>
        <w:tc>
          <w:tcPr>
            <w:tcW w:w="1008" w:type="dxa"/>
            <w:tcBorders/>
          </w:tcPr>
          <w:p>
            <w:pPr>
              <w:pStyle w:val="Normal"/>
              <w:spacing w:before="120" w:after="0"/>
              <w:rPr/>
            </w:pPr>
            <w:r>
              <w:rPr/>
              <w:t>13.3%</w:t>
            </w:r>
          </w:p>
        </w:tc>
        <w:tc>
          <w:tcPr>
            <w:tcW w:w="1008" w:type="dxa"/>
            <w:tcBorders/>
          </w:tcPr>
          <w:p>
            <w:pPr>
              <w:pStyle w:val="Normal"/>
              <w:spacing w:before="120" w:after="0"/>
              <w:rPr/>
            </w:pPr>
            <w:r>
              <w:rPr/>
              <w:t>15.2%</w:t>
            </w:r>
          </w:p>
        </w:tc>
      </w:tr>
    </w:tbl>
    <w:p>
      <w:pPr>
        <w:pStyle w:val="Normal"/>
        <w:rPr/>
      </w:pPr>
      <w:r>
        <w:rPr/>
      </w:r>
    </w:p>
    <w:p>
      <w:pPr>
        <w:pStyle w:val="Normal"/>
        <w:rPr/>
      </w:pPr>
      <w:r>
        <w:rPr/>
        <w:t>First, I want you to know that the Management Committee and I are very concerned about what you told me regarding Enron's core values.  You told me that in comparison to last year, we are short on ethics and trustworthiness and long on arrogance and self-service.  This troubles me, and I am committed to insuring our values continue to be the foundation of Enron.  You also told me you wanted more confidence that both executive management and your direct supervisor knew where Enron was going and how we were going to get there.  We are committed to sharing our strategy with you over the next few months.</w:t>
      </w:r>
    </w:p>
    <w:p>
      <w:pPr>
        <w:pStyle w:val="Normal"/>
        <w:rPr/>
      </w:pPr>
      <w:r>
        <w:rPr/>
      </w:r>
    </w:p>
    <w:p>
      <w:pPr>
        <w:pStyle w:val="Heading1"/>
        <w:ind w:hanging="0" w:start="0"/>
        <w:rPr/>
      </w:pPr>
      <w:r>
        <w:rPr/>
        <w:t>What We're Going to Do</w:t>
      </w:r>
    </w:p>
    <w:p>
      <w:pPr>
        <w:pStyle w:val="Normal"/>
        <w:rPr/>
      </w:pPr>
      <w:r>
        <w:rPr/>
      </w:r>
    </w:p>
    <w:p>
      <w:pPr>
        <w:pStyle w:val="Normal"/>
        <w:rPr/>
      </w:pPr>
      <w:r>
        <w:rPr/>
        <w:t>After compiling the results of the survey, I met with the Management Committee to discuss your feedback.  We spent a day together reviewing the survey results and have developed a short- and long-term plan for addressing your concerns.  Following is the initial plan we've developed.</w:t>
      </w:r>
    </w:p>
    <w:p>
      <w:pPr>
        <w:pStyle w:val="Normal"/>
        <w:rPr/>
      </w:pPr>
      <w:r>
        <w:rPr/>
      </w:r>
    </w:p>
    <w:p>
      <w:pPr>
        <w:pStyle w:val="Normal"/>
        <w:rPr>
          <w:smallCaps/>
        </w:rPr>
      </w:pPr>
      <w:r>
        <w:rPr>
          <w:smallCaps/>
        </w:rPr>
        <w:t>Stock Price</w:t>
      </w:r>
    </w:p>
    <w:p>
      <w:pPr>
        <w:pStyle w:val="Normal"/>
        <w:rPr>
          <w:smallCaps/>
        </w:rPr>
      </w:pPr>
      <w:r>
        <w:rPr>
          <w:smallCaps/>
        </w:rPr>
      </w:r>
    </w:p>
    <w:p>
      <w:pPr>
        <w:pStyle w:val="Normal"/>
        <w:rPr/>
      </w:pPr>
      <w:r>
        <w:rPr/>
        <w:t>We are all concerned about our stock price, which has declined significantly to below $30.  The primary reasons for the sharp decline from our highs earlier this year include:</w:t>
      </w:r>
    </w:p>
    <w:p>
      <w:pPr>
        <w:pStyle w:val="Normal"/>
        <w:numPr>
          <w:ilvl w:val="0"/>
          <w:numId w:val="4"/>
        </w:numPr>
        <w:tabs>
          <w:tab w:val="clear" w:pos="720"/>
        </w:tabs>
        <w:ind w:hanging="360" w:start="720" w:end="0"/>
        <w:rPr/>
      </w:pPr>
      <w:r>
        <w:rPr/>
        <w:t>A decline in the overall market and economy;</w:t>
      </w:r>
    </w:p>
    <w:p>
      <w:pPr>
        <w:pStyle w:val="Normal"/>
        <w:numPr>
          <w:ilvl w:val="0"/>
          <w:numId w:val="4"/>
        </w:numPr>
        <w:tabs>
          <w:tab w:val="clear" w:pos="720"/>
        </w:tabs>
        <w:ind w:hanging="360" w:start="720" w:end="0"/>
        <w:rPr/>
      </w:pPr>
      <w:r>
        <w:rPr/>
        <w:t>A "meltdown" in the broadband sector, which may have been as much as $30-$40 of our stock price at the high;</w:t>
      </w:r>
    </w:p>
    <w:p>
      <w:pPr>
        <w:pStyle w:val="Normal"/>
        <w:numPr>
          <w:ilvl w:val="0"/>
          <w:numId w:val="4"/>
        </w:numPr>
        <w:tabs>
          <w:tab w:val="clear" w:pos="720"/>
        </w:tabs>
        <w:ind w:hanging="360" w:start="720" w:end="0"/>
        <w:rPr/>
      </w:pPr>
      <w:r>
        <w:rPr/>
        <w:t>Lower energy commodity prices and volatility relative to last winter's high;</w:t>
      </w:r>
    </w:p>
    <w:p>
      <w:pPr>
        <w:pStyle w:val="Normal"/>
        <w:numPr>
          <w:ilvl w:val="0"/>
          <w:numId w:val="4"/>
        </w:numPr>
        <w:tabs>
          <w:tab w:val="clear" w:pos="720"/>
        </w:tabs>
        <w:ind w:hanging="360" w:start="720" w:end="0"/>
        <w:rPr/>
      </w:pPr>
      <w:r>
        <w:rPr/>
        <w:t>Concerns over the pace of energy deregulation; and</w:t>
      </w:r>
    </w:p>
    <w:p>
      <w:pPr>
        <w:pStyle w:val="Normal"/>
        <w:numPr>
          <w:ilvl w:val="0"/>
          <w:numId w:val="4"/>
        </w:numPr>
        <w:tabs>
          <w:tab w:val="clear" w:pos="720"/>
        </w:tabs>
        <w:ind w:hanging="360" w:start="720" w:end="0"/>
        <w:rPr/>
      </w:pPr>
      <w:r>
        <w:rPr/>
        <w:t>Other specific Enron issues including California, India and management changes.</w:t>
      </w:r>
    </w:p>
    <w:p>
      <w:pPr>
        <w:pStyle w:val="Normal"/>
        <w:rPr/>
      </w:pPr>
      <w:r>
        <w:rPr/>
      </w:r>
    </w:p>
    <w:p>
      <w:pPr>
        <w:pStyle w:val="Normal"/>
        <w:rPr/>
      </w:pPr>
      <w:r>
        <w:rPr/>
        <w:t>These concerns mask the very strong underlying recurring earnings growth in our transportation and distribution, wholesale and retail energy businesses.  Very few companies have demonstrated the earnings growth, and promised future earnings growth, as Enron.  We are convinced that after the issues mentioned earlier settle down, our stock price will reflect the premium valuation these businesses deserve.</w:t>
      </w:r>
    </w:p>
    <w:p>
      <w:pPr>
        <w:pStyle w:val="Normal"/>
        <w:rPr/>
      </w:pPr>
      <w:r>
        <w:rPr/>
      </w:r>
    </w:p>
    <w:p>
      <w:pPr>
        <w:pStyle w:val="Normal"/>
        <w:numPr>
          <w:ilvl w:val="0"/>
          <w:numId w:val="3"/>
        </w:numPr>
        <w:tabs>
          <w:tab w:val="clear" w:pos="720"/>
        </w:tabs>
        <w:ind w:hanging="360" w:start="360" w:end="0"/>
        <w:rPr/>
      </w:pPr>
      <w:r>
        <w:rPr/>
        <w:t>Over the past month, we have personally met with all of our major institutional shareholders and all of our analysts, reviewing in detail the very strong prospects in each of our businesses.</w:t>
      </w:r>
    </w:p>
    <w:p>
      <w:pPr>
        <w:pStyle w:val="Normal"/>
        <w:numPr>
          <w:ilvl w:val="0"/>
          <w:numId w:val="3"/>
        </w:numPr>
        <w:tabs>
          <w:tab w:val="clear" w:pos="720"/>
        </w:tabs>
        <w:spacing w:before="120" w:after="0"/>
        <w:ind w:hanging="360" w:start="360" w:end="0"/>
        <w:rPr/>
      </w:pPr>
      <w:r>
        <w:rPr/>
        <w:t>We have committed to disclose more segmented information about our business units and how we operate.  When analysts have a better understanding of our businesses, we hope they will give us better support of our stock, and the market should respond accordingly.</w:t>
      </w:r>
    </w:p>
    <w:p>
      <w:pPr>
        <w:pStyle w:val="Normal"/>
        <w:numPr>
          <w:ilvl w:val="0"/>
          <w:numId w:val="3"/>
        </w:numPr>
        <w:tabs>
          <w:tab w:val="clear" w:pos="720"/>
        </w:tabs>
        <w:spacing w:before="120" w:after="0"/>
        <w:ind w:hanging="360" w:start="360" w:end="0"/>
        <w:rPr/>
      </w:pPr>
      <w:r>
        <w:rPr/>
        <w:t>Mark Koenig, executive vice president of Investor Relations, will host Brown Bag sessions with groups of employees to discuss stock price issues and answer questions.  He will also continue to host eSpeak sessions to answer employee questions.</w:t>
      </w:r>
    </w:p>
    <w:p>
      <w:pPr>
        <w:pStyle w:val="Normal"/>
        <w:numPr>
          <w:ilvl w:val="0"/>
          <w:numId w:val="3"/>
        </w:numPr>
        <w:tabs>
          <w:tab w:val="clear" w:pos="720"/>
        </w:tabs>
        <w:spacing w:before="120" w:after="0"/>
        <w:ind w:hanging="360" w:start="360" w:end="0"/>
        <w:rPr/>
      </w:pPr>
      <w:r>
        <w:rPr/>
        <w:t>Greg Whalley and Mark Frevert will also hold Brown Bag sessions, which will be taped and made available to employees worldwide.  Watch for these events.</w:t>
      </w:r>
    </w:p>
    <w:p>
      <w:pPr>
        <w:pStyle w:val="Normal"/>
        <w:rPr>
          <w:smallCaps/>
        </w:rPr>
      </w:pPr>
      <w:r>
        <w:rPr>
          <w:smallCaps/>
        </w:rPr>
      </w:r>
    </w:p>
    <w:p>
      <w:pPr>
        <w:pStyle w:val="Normal"/>
        <w:rPr>
          <w:smallCaps/>
        </w:rPr>
      </w:pPr>
      <w:r>
        <w:rPr>
          <w:smallCaps/>
        </w:rPr>
        <w:t>The PRC</w:t>
      </w:r>
    </w:p>
    <w:p>
      <w:pPr>
        <w:pStyle w:val="Normal"/>
        <w:rPr>
          <w:smallCaps/>
        </w:rPr>
      </w:pPr>
      <w:r>
        <w:rPr>
          <w:smallCaps/>
        </w:rPr>
      </w:r>
    </w:p>
    <w:p>
      <w:pPr>
        <w:pStyle w:val="Normal"/>
        <w:rPr/>
      </w:pPr>
      <w:r>
        <w:rPr/>
        <w:t xml:space="preserve">We heard you.  Every third comment from the survey was about the PRC.  Many of you who responded to the survey said you believe the PRC process forces unhealthy competition and is not a true assessment of one's accomplishments and performance.  I fully recognize the issues with the PRC, so the Management Committee and I will be making </w:t>
      </w:r>
      <w:r>
        <w:rPr>
          <w:b/>
          <w:bCs/>
        </w:rPr>
        <w:t>significant</w:t>
      </w:r>
      <w:r>
        <w:rPr/>
        <w:t xml:space="preserve"> changes to the process for year-end 2001.  While we won't eliminate the PRC, we will work to improve it.  It's necessary in measuring performance and keeping our competitive advantage.</w:t>
      </w:r>
    </w:p>
    <w:p>
      <w:pPr>
        <w:pStyle w:val="Normal"/>
        <w:rPr/>
      </w:pPr>
      <w:r>
        <w:rPr/>
      </w:r>
    </w:p>
    <w:p>
      <w:pPr>
        <w:pStyle w:val="Normal"/>
        <w:rPr/>
      </w:pPr>
      <w:r>
        <w:rPr/>
        <w:t>We are currently in the process of identifying all of the changes we believe are critical for the PRC to accomplish its intended objectives.  We have already formed an employee task force to advise us on these changes.  The changes we are working on are both extensive and significant.  At a high level we want to:</w:t>
      </w:r>
    </w:p>
    <w:p>
      <w:pPr>
        <w:pStyle w:val="Normal"/>
        <w:numPr>
          <w:ilvl w:val="0"/>
          <w:numId w:val="7"/>
        </w:numPr>
        <w:tabs>
          <w:tab w:val="clear" w:pos="720"/>
        </w:tabs>
        <w:spacing w:before="120" w:after="0"/>
        <w:ind w:hanging="360" w:start="360" w:end="0"/>
        <w:rPr/>
      </w:pPr>
      <w:r>
        <w:rPr/>
        <w:t>Use the PRC primarily for talent management.</w:t>
      </w:r>
    </w:p>
    <w:p>
      <w:pPr>
        <w:pStyle w:val="Normal"/>
        <w:numPr>
          <w:ilvl w:val="0"/>
          <w:numId w:val="7"/>
        </w:numPr>
        <w:tabs>
          <w:tab w:val="clear" w:pos="720"/>
        </w:tabs>
        <w:spacing w:before="120" w:after="0"/>
        <w:ind w:hanging="360" w:start="360" w:end="0"/>
        <w:rPr/>
      </w:pPr>
      <w:r>
        <w:rPr/>
        <w:t>Change the current preferred distribution approach.</w:t>
      </w:r>
    </w:p>
    <w:p>
      <w:pPr>
        <w:pStyle w:val="Normal"/>
        <w:numPr>
          <w:ilvl w:val="0"/>
          <w:numId w:val="7"/>
        </w:numPr>
        <w:tabs>
          <w:tab w:val="clear" w:pos="720"/>
        </w:tabs>
        <w:spacing w:before="120" w:after="0"/>
        <w:ind w:hanging="360" w:start="360" w:end="0"/>
        <w:rPr/>
      </w:pPr>
      <w:r>
        <w:rPr/>
        <w:t xml:space="preserve">Ensure supervisors give </w:t>
      </w:r>
      <w:r>
        <w:rPr>
          <w:b/>
          <w:bCs/>
        </w:rPr>
        <w:t>all</w:t>
      </w:r>
      <w:r>
        <w:rPr/>
        <w:t xml:space="preserve"> employees the feedback they need to understand how to manage their careers.</w:t>
      </w:r>
    </w:p>
    <w:p>
      <w:pPr>
        <w:pStyle w:val="Normal"/>
        <w:rPr/>
      </w:pPr>
      <w:r>
        <w:rPr/>
      </w:r>
    </w:p>
    <w:p>
      <w:pPr>
        <w:pStyle w:val="Normal"/>
        <w:rPr/>
      </w:pPr>
      <w:r>
        <w:rPr/>
        <w:t xml:space="preserve">In the October issue of </w:t>
      </w:r>
      <w:r>
        <w:rPr>
          <w:i/>
          <w:iCs/>
        </w:rPr>
        <w:t>Enron Business</w:t>
      </w:r>
      <w:r>
        <w:rPr/>
        <w:t>, we will feature the first in a series of articles talking about the PRC and the changes we're making.</w:t>
      </w:r>
    </w:p>
    <w:p>
      <w:pPr>
        <w:pStyle w:val="Normal"/>
        <w:rPr/>
      </w:pPr>
      <w:r>
        <w:rPr/>
      </w:r>
    </w:p>
    <w:p>
      <w:pPr>
        <w:pStyle w:val="Normal"/>
        <w:rPr>
          <w:smallCaps/>
        </w:rPr>
      </w:pPr>
      <w:r>
        <w:rPr>
          <w:smallCaps/>
        </w:rPr>
        <w:t>Employee Morale</w:t>
      </w:r>
    </w:p>
    <w:p>
      <w:pPr>
        <w:pStyle w:val="Normal"/>
        <w:rPr>
          <w:smallCaps/>
        </w:rPr>
      </w:pPr>
      <w:r>
        <w:rPr>
          <w:smallCaps/>
        </w:rPr>
      </w:r>
    </w:p>
    <w:p>
      <w:pPr>
        <w:pStyle w:val="Normal"/>
        <w:rPr/>
      </w:pPr>
      <w:r>
        <w:rPr/>
        <w:t xml:space="preserve">We believe the stock price and the PRC are two very significant drivers of morale.  Additionally, feedback indicated that the Human Resources (HR) department appears to be more committed to management than they are to employees, and because of that has not always been available to respond to your issues and concerns.  We recognize the dual role of HR and want to provide employees a stronger venue to voice their idea of how Enron can continue to be a company we're all proud of.  We want there to be a place where you feel </w:t>
      </w:r>
      <w:r>
        <w:rPr>
          <w:b/>
          <w:bCs/>
        </w:rPr>
        <w:t>you</w:t>
      </w:r>
      <w:r>
        <w:rPr/>
        <w:t xml:space="preserve"> can go to provide your ideas.  Effective immediately:</w:t>
      </w:r>
    </w:p>
    <w:p>
      <w:pPr>
        <w:pStyle w:val="Normal"/>
        <w:numPr>
          <w:ilvl w:val="0"/>
          <w:numId w:val="2"/>
        </w:numPr>
        <w:tabs>
          <w:tab w:val="clear" w:pos="720"/>
        </w:tabs>
        <w:spacing w:before="120" w:after="0"/>
        <w:ind w:hanging="360" w:start="360" w:end="0"/>
        <w:rPr/>
      </w:pPr>
      <w:r>
        <w:rPr/>
        <w:t>We are establishing a new business function we are calling Employee Relations (ER) that will report directly to me.  Cindy Olson will head this function.  More details of how this group will operate will be communicated in the next few days.</w:t>
      </w:r>
    </w:p>
    <w:p>
      <w:pPr>
        <w:pStyle w:val="Normal"/>
        <w:rPr/>
      </w:pPr>
      <w:r>
        <w:rPr/>
      </w:r>
    </w:p>
    <w:p>
      <w:pPr>
        <w:pStyle w:val="Normal"/>
        <w:rPr/>
      </w:pPr>
      <w:r>
        <w:rPr/>
        <w:t xml:space="preserve">We recognize that our employees work extremely hard and often long hours – many times at the expense of family and friends.  While our culture is performance-driven, many employees and supervisors take this to an extreme – even working while on vacation, checking voice mail and e-mail, etc.  We want strongly encourage every employee to take their vacation.  </w:t>
      </w:r>
    </w:p>
    <w:p>
      <w:pPr>
        <w:pStyle w:val="Normal"/>
        <w:rPr/>
      </w:pPr>
      <w:r>
        <w:rPr/>
      </w:r>
    </w:p>
    <w:p>
      <w:pPr>
        <w:pStyle w:val="Normal"/>
        <w:rPr>
          <w:smallCaps/>
        </w:rPr>
      </w:pPr>
      <w:r>
        <w:rPr>
          <w:smallCaps/>
        </w:rPr>
        <w:t>External Reputation</w:t>
      </w:r>
    </w:p>
    <w:p>
      <w:pPr>
        <w:pStyle w:val="Normal"/>
        <w:rPr>
          <w:smallCaps/>
        </w:rPr>
      </w:pPr>
      <w:r>
        <w:rPr>
          <w:smallCaps/>
        </w:rPr>
      </w:r>
    </w:p>
    <w:p>
      <w:pPr>
        <w:pStyle w:val="Normal"/>
        <w:autoSpaceDE w:val="false"/>
        <w:rPr>
          <w:rFonts w:cs="Arial"/>
          <w:szCs w:val="20"/>
        </w:rPr>
      </w:pPr>
      <w:r>
        <w:rPr>
          <w:rFonts w:cs="Arial"/>
          <w:szCs w:val="20"/>
        </w:rPr>
        <w:t>We all recognize that our external reputation has declined this year, in part because of tumultuous situations like Dabhol and California.  Our credibility has also taken a hit because we have not done an effective job of explaining our business model and our financials to Wall Street and to analysts.  The single most important factor that influences our reputation is our actions – how we act as a company and as individual employees.  The best way for us to gain credibility is to perform above expectations.  I ask that you do the same in all your dealings with external constituents.</w:t>
      </w:r>
    </w:p>
    <w:p>
      <w:pPr>
        <w:pStyle w:val="Normal"/>
        <w:numPr>
          <w:ilvl w:val="0"/>
          <w:numId w:val="8"/>
        </w:numPr>
        <w:tabs>
          <w:tab w:val="clear" w:pos="720"/>
        </w:tabs>
        <w:autoSpaceDE w:val="false"/>
        <w:spacing w:before="120" w:after="0"/>
        <w:ind w:hanging="360" w:start="360" w:end="0"/>
        <w:rPr/>
      </w:pPr>
      <w:r>
        <w:rPr>
          <w:rFonts w:cs="Arial"/>
          <w:szCs w:val="20"/>
        </w:rPr>
        <w:t xml:space="preserve">We will do a better job providing you with timely information about issues affecting Enron.  In addition to our existing communication efforts, like e-mail messages and internal publications </w:t>
      </w:r>
      <w:r>
        <w:rPr>
          <w:rFonts w:cs="Arial"/>
          <w:i/>
          <w:iCs/>
          <w:szCs w:val="20"/>
        </w:rPr>
        <w:t>eBiz</w:t>
      </w:r>
      <w:r>
        <w:rPr>
          <w:rFonts w:cs="Arial"/>
          <w:szCs w:val="20"/>
        </w:rPr>
        <w:t xml:space="preserve"> and </w:t>
      </w:r>
      <w:r>
        <w:rPr>
          <w:rFonts w:cs="Arial"/>
          <w:i/>
          <w:iCs/>
          <w:szCs w:val="20"/>
        </w:rPr>
        <w:t>Enron Business</w:t>
      </w:r>
      <w:r>
        <w:rPr>
          <w:rFonts w:cs="Arial"/>
          <w:szCs w:val="20"/>
        </w:rPr>
        <w:t xml:space="preserve">, we will post a Q&amp;A on current issues on the Enron intranet at </w:t>
      </w:r>
      <w:hyperlink r:id="rId2">
        <w:r>
          <w:rPr>
            <w:rStyle w:val="Hyperlink"/>
            <w:rFonts w:cs="Arial"/>
            <w:szCs w:val="20"/>
          </w:rPr>
          <w:t>home.enron.com</w:t>
        </w:r>
      </w:hyperlink>
      <w:r>
        <w:rPr>
          <w:rFonts w:cs="Arial"/>
          <w:szCs w:val="20"/>
        </w:rPr>
        <w:t>.  This will give us a consistent message across the organization and will equip you with information when talking to your customers.</w:t>
      </w:r>
    </w:p>
    <w:p>
      <w:pPr>
        <w:pStyle w:val="Normal"/>
        <w:numPr>
          <w:ilvl w:val="0"/>
          <w:numId w:val="8"/>
        </w:numPr>
        <w:tabs>
          <w:tab w:val="clear" w:pos="720"/>
        </w:tabs>
        <w:autoSpaceDE w:val="false"/>
        <w:spacing w:before="120" w:after="0"/>
        <w:ind w:hanging="360" w:start="360" w:end="0"/>
        <w:rPr/>
      </w:pPr>
      <w:r>
        <w:rPr/>
        <w:t>And, as we said previously, Greg Whalley and Mark Frevert will meet with small groups of employees across Enron to hear your thoughts and share with you our continuing efforts.</w:t>
      </w:r>
    </w:p>
    <w:p>
      <w:pPr>
        <w:pStyle w:val="Normal"/>
        <w:rPr/>
      </w:pPr>
      <w:r>
        <w:rPr/>
      </w:r>
    </w:p>
    <w:p>
      <w:pPr>
        <w:pStyle w:val="Normal"/>
        <w:rPr>
          <w:smallCaps/>
        </w:rPr>
      </w:pPr>
      <w:r>
        <w:rPr>
          <w:smallCaps/>
        </w:rPr>
        <w:t>Integrity and Respect</w:t>
      </w:r>
    </w:p>
    <w:p>
      <w:pPr>
        <w:pStyle w:val="Normal"/>
        <w:rPr/>
      </w:pPr>
      <w:r>
        <w:rPr/>
        <w:t xml:space="preserve"> </w:t>
      </w:r>
    </w:p>
    <w:p>
      <w:pPr>
        <w:pStyle w:val="Normal"/>
        <w:rPr/>
      </w:pPr>
      <w:r>
        <w:rPr/>
        <w:t>As I said previously, I believe we need to strengthen our focus on core values, particularly integrity and respect.  And as you have told me in this survey, you agree.</w:t>
      </w:r>
    </w:p>
    <w:p>
      <w:pPr>
        <w:pStyle w:val="Normal"/>
        <w:numPr>
          <w:ilvl w:val="0"/>
          <w:numId w:val="5"/>
        </w:numPr>
        <w:tabs>
          <w:tab w:val="clear" w:pos="720"/>
        </w:tabs>
        <w:spacing w:before="120" w:after="0"/>
        <w:ind w:hanging="360" w:start="360" w:end="0"/>
        <w:rPr/>
      </w:pPr>
      <w:r>
        <w:rPr/>
        <w:t>Enron's values will have greater bearing in the PRC.  All employees, regardless of level, will be held accountable for the way they interact with people on a daily basis.  We are all responsible for how we treat our coworkers and customers.</w:t>
      </w:r>
    </w:p>
    <w:p>
      <w:pPr>
        <w:pStyle w:val="Normal"/>
        <w:numPr>
          <w:ilvl w:val="0"/>
          <w:numId w:val="2"/>
        </w:numPr>
        <w:tabs>
          <w:tab w:val="clear" w:pos="720"/>
        </w:tabs>
        <w:spacing w:before="120" w:after="0"/>
        <w:ind w:hanging="360" w:start="360" w:end="0"/>
        <w:rPr/>
      </w:pPr>
      <w:r>
        <w:rPr/>
        <w:t>We will also conduct employee focus groups to gather additional, specific feedback on employee issues like ethics, integrity and individual concerns.  If you would like to participate in these focus groups, please send an e-mail to Cindy Olson.</w:t>
      </w:r>
    </w:p>
    <w:p>
      <w:pPr>
        <w:pStyle w:val="Normal"/>
        <w:numPr>
          <w:ilvl w:val="0"/>
          <w:numId w:val="5"/>
        </w:numPr>
        <w:tabs>
          <w:tab w:val="clear" w:pos="720"/>
        </w:tabs>
        <w:spacing w:before="120" w:after="0"/>
        <w:ind w:hanging="360" w:start="360" w:end="0"/>
        <w:rPr/>
      </w:pPr>
      <w:r>
        <w:rPr/>
        <w:t xml:space="preserve">Beginning in November, I will host a column called "Lay It On the Line" in </w:t>
      </w:r>
      <w:r>
        <w:rPr>
          <w:i/>
          <w:iCs/>
        </w:rPr>
        <w:t>Enron Business</w:t>
      </w:r>
      <w:r>
        <w:rPr/>
        <w:t>.  Each issue will address the action steps we are taking and their results to keep you informed every step of the way.</w:t>
      </w:r>
    </w:p>
    <w:p>
      <w:pPr>
        <w:pStyle w:val="Normal"/>
        <w:numPr>
          <w:ilvl w:val="0"/>
          <w:numId w:val="5"/>
        </w:numPr>
        <w:tabs>
          <w:tab w:val="clear" w:pos="720"/>
        </w:tabs>
        <w:spacing w:before="120" w:after="0"/>
        <w:ind w:hanging="360" w:start="360" w:end="0"/>
        <w:rPr/>
      </w:pPr>
      <w:r>
        <w:rPr/>
        <w:t>We're also asking you to take responsibility for when you feel our values are being compromised.  If you see an employee acting against our core values, please contact the ER team, and they will ensure that proper actions are taken.</w:t>
      </w:r>
    </w:p>
    <w:p>
      <w:pPr>
        <w:pStyle w:val="Normal"/>
        <w:spacing w:before="120" w:after="0"/>
        <w:rPr/>
      </w:pPr>
      <w:r>
        <w:rPr/>
      </w:r>
    </w:p>
    <w:p>
      <w:pPr>
        <w:pStyle w:val="Normal"/>
        <w:rPr/>
      </w:pPr>
      <w:r>
        <w:rPr/>
        <w:t>All of the issues you identified are closely linked.  As we make improvements in one area, like the PRC, we would anticipate improvements in others, like employee morale.  I give you my commitment that we will do a better job communicating with you and listening to you.  We will provide more timely information on current issues affecting Enron.  But we need your help, too.  Your continued dedication to excellence and to representing the company well with all of your external contacts is essential for our long-term success.  We will conduct another "Lay It On the Line" survey early next year.  Please continue to send me your feedback and let's continue to work together and keep Enron one of the best places to work.</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Wingdings" w:hAnsi="Wingdings" w:cs="Wingdings" w:hint="default"/>
        <w:color w:val="000000"/>
      </w:rPr>
    </w:lvl>
  </w:abstractNum>
  <w:abstractNum w:abstractNumId="3">
    <w:lvl w:ilvl="0">
      <w:start w:val="1"/>
      <w:numFmt w:val="bullet"/>
      <w:lvlText w:val=""/>
      <w:lvlJc w:val="start"/>
      <w:pPr>
        <w:tabs>
          <w:tab w:val="num" w:pos="1080"/>
        </w:tabs>
        <w:ind w:start="1080" w:hanging="360"/>
      </w:pPr>
      <w:rPr>
        <w:rFonts w:ascii="Wingdings" w:hAnsi="Wingdings" w:cs="Wingdings" w:hint="default"/>
        <w:color w:val="000000"/>
      </w:rPr>
    </w:lvl>
  </w:abstractNum>
  <w:abstractNum w:abstractNumId="4">
    <w:lvl w:ilvl="0">
      <w:numFmt w:val="bullet"/>
      <w:lvlText w:val="-"/>
      <w:lvlJc w:val="start"/>
      <w:pPr>
        <w:tabs>
          <w:tab w:val="num" w:pos="1080"/>
        </w:tabs>
        <w:ind w:start="1080" w:hanging="360"/>
      </w:pPr>
      <w:rPr>
        <w:rFonts w:ascii="Times New Roman" w:hAnsi="Times New Roman" w:cs="Times New Roman" w:hint="default"/>
      </w:rPr>
    </w:lvl>
  </w:abstractNum>
  <w:abstractNum w:abstractNumId="5">
    <w:lvl w:ilvl="0">
      <w:start w:val="1"/>
      <w:numFmt w:val="bullet"/>
      <w:lvlText w:val=""/>
      <w:lvlJc w:val="start"/>
      <w:pPr>
        <w:tabs>
          <w:tab w:val="num" w:pos="1080"/>
        </w:tabs>
        <w:ind w:start="1080" w:hanging="360"/>
      </w:pPr>
      <w:rPr>
        <w:rFonts w:ascii="Wingdings" w:hAnsi="Wingdings" w:cs="Wingdings" w:hint="default"/>
        <w:color w:val="000000"/>
      </w:rPr>
    </w:lvl>
  </w:abstractNum>
  <w:abstractNum w:abstractNumId="6">
    <w:lvl w:ilvl="0">
      <w:start w:val="1"/>
      <w:numFmt w:val="decimal"/>
      <w:lvlText w:val="%1."/>
      <w:lvlJc w:val="start"/>
      <w:pPr>
        <w:tabs>
          <w:tab w:val="num" w:pos="1440"/>
        </w:tabs>
        <w:ind w:start="1440" w:hanging="360"/>
      </w:pPr>
    </w:lvl>
  </w:abstractNum>
  <w:abstractNum w:abstractNumId="7">
    <w:lvl w:ilvl="0">
      <w:start w:val="1"/>
      <w:numFmt w:val="bullet"/>
      <w:lvlText w:val=""/>
      <w:lvlJc w:val="start"/>
      <w:pPr>
        <w:tabs>
          <w:tab w:val="num" w:pos="1080"/>
        </w:tabs>
        <w:ind w:start="1080" w:hanging="360"/>
      </w:pPr>
      <w:rPr>
        <w:rFonts w:ascii="Wingdings" w:hAnsi="Wingdings" w:cs="Wingdings" w:hint="default"/>
        <w:color w:val="000000"/>
      </w:rPr>
    </w:lvl>
  </w:abstractNum>
  <w:abstractNum w:abstractNumId="8">
    <w:lvl w:ilvl="0">
      <w:start w:val="1"/>
      <w:numFmt w:val="bullet"/>
      <w:lvlText w:val=""/>
      <w:lvlJc w:val="start"/>
      <w:pPr>
        <w:tabs>
          <w:tab w:val="num" w:pos="1080"/>
        </w:tabs>
        <w:ind w:start="1080" w:hanging="360"/>
      </w:pPr>
      <w:rPr>
        <w:rFonts w:ascii="Wingdings" w:hAnsi="Wingdings" w:cs="Wingdings"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mallCaps/>
    </w:rPr>
  </w:style>
  <w:style w:type="paragraph" w:styleId="Heading2">
    <w:name w:val="heading 2"/>
    <w:basedOn w:val="Normal"/>
    <w:next w:val="Normal"/>
    <w:qFormat/>
    <w:pPr>
      <w:keepNext w:val="true"/>
      <w:numPr>
        <w:ilvl w:val="1"/>
        <w:numId w:val="1"/>
      </w:numPr>
      <w:spacing w:before="120" w:after="0"/>
      <w:outlineLvl w:val="1"/>
    </w:pPr>
    <w:rPr>
      <w:i/>
      <w:iCs/>
    </w:rPr>
  </w:style>
  <w:style w:type="character" w:styleId="WW8Num1z0">
    <w:name w:val="WW8Num1z0"/>
    <w:qFormat/>
    <w:rPr>
      <w:rFonts w:ascii="Wingdings" w:hAnsi="Wingdings" w:cs="Wingdings"/>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color w:val="000000"/>
    </w:rPr>
  </w:style>
  <w:style w:type="character" w:styleId="WW8Num5z1">
    <w:name w:val="WW8Num5z1"/>
    <w:qFormat/>
    <w:rPr>
      <w:rFonts w:ascii="Times New Roman" w:hAnsi="Times New Roman" w:cs="Times New Roman"/>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5z4">
    <w:name w:val="WW8Num5z4"/>
    <w:qFormat/>
    <w:rPr>
      <w:rFonts w:ascii="Courier New" w:hAnsi="Courier New" w:cs="Courier New"/>
    </w:rPr>
  </w:style>
  <w:style w:type="character" w:styleId="WW8Num6z0">
    <w:name w:val="WW8Num6z0"/>
    <w:qFormat/>
    <w:rPr>
      <w:rFonts w:ascii="Wingdings" w:hAnsi="Wingdings" w:cs="Wingdings"/>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Wingdings" w:hAnsi="Wingdings" w:cs="Wingdings"/>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9z0">
    <w:name w:val="WW8Num9z0"/>
    <w:qFormat/>
    <w:rPr>
      <w:rFonts w:ascii="Wingdings" w:hAnsi="Wingdings" w:cs="Wingdings"/>
      <w:color w:val="00000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Wingdings" w:hAnsi="Wingdings" w:cs="Wingdings"/>
      <w:color w:val="00000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Wingdings" w:hAnsi="Wingdings" w:cs="Wingdings"/>
      <w:color w:val="00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home.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2001-09-13T11:10:00Z</dcterms:created>
  <dc:creator>sarah palmer</dc:creator>
  <dc:description/>
  <dc:language>en-CA</dc:language>
  <cp:lastModifiedBy>sarah palmer</cp:lastModifiedBy>
  <cp:lastPrinted>2001-09-20T11:17:00Z</cp:lastPrinted>
  <dcterms:modified xsi:type="dcterms:W3CDTF">2001-09-21T13:07:00Z</dcterms:modified>
  <cp:revision>280</cp:revision>
  <dc:subject/>
  <dc:title>Less than a month ago, I asked you to Lay It On the Line</dc:title>
</cp:coreProperties>
</file>