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p>
      <w:pPr>
        <w:pStyle w:val="Body"/>
        <w:jc w:val="center"/>
        <w:rPr>
          <w:b/>
          <w:bCs/>
          <w:sz w:val="28"/>
        </w:rPr>
      </w:pPr>
      <w:r>
        <w:rPr>
          <w:b/>
          <w:bCs/>
          <w:sz w:val="28"/>
        </w:rPr>
        <w:t>Summary of Ontario Market</w:t>
      </w:r>
    </w:p>
    <w:p>
      <w:pPr>
        <w:pStyle w:val="Body"/>
        <w:jc w:val="center"/>
        <w:rPr>
          <w:b/>
          <w:bCs/>
        </w:rPr>
      </w:pPr>
      <w:r>
        <w:rPr>
          <w:b/>
          <w:bCs/>
          <w:sz w:val="28"/>
        </w:rPr>
        <w:t>March 2001</w:t>
      </w:r>
    </w:p>
    <w:p>
      <w:pPr>
        <w:pStyle w:val="Body"/>
        <w:rPr>
          <w:b/>
          <w:bCs/>
        </w:rPr>
      </w:pPr>
      <w:r>
        <w:rPr>
          <w:b/>
          <w:bCs/>
        </w:rPr>
      </w:r>
    </w:p>
    <w:p>
      <w:pPr>
        <w:pStyle w:val="Body"/>
        <w:rPr/>
      </w:pPr>
      <w:r>
        <w:rPr/>
      </w:r>
    </w:p>
    <w:p>
      <w:pPr>
        <w:pStyle w:val="Department"/>
        <w:numPr>
          <w:ilvl w:val="0"/>
          <w:numId w:val="2"/>
        </w:numPr>
        <w:jc w:val="both"/>
        <w:rPr>
          <w:sz w:val="22"/>
        </w:rPr>
      </w:pPr>
      <w:r>
        <w:rPr>
          <w:sz w:val="22"/>
        </w:rPr>
        <w:t xml:space="preserve">Total generating capacity in service of approximately 27,400 MW with provincial peak demand of approximately 23,000 – 24,000 MW.  </w:t>
      </w:r>
    </w:p>
    <w:p>
      <w:pPr>
        <w:pStyle w:val="Department"/>
        <w:jc w:val="both"/>
        <w:rPr>
          <w:sz w:val="22"/>
        </w:rPr>
      </w:pPr>
      <w:r>
        <w:rPr>
          <w:sz w:val="22"/>
        </w:rPr>
      </w:r>
    </w:p>
    <w:p>
      <w:pPr>
        <w:pStyle w:val="Department"/>
        <w:numPr>
          <w:ilvl w:val="0"/>
          <w:numId w:val="2"/>
        </w:numPr>
        <w:jc w:val="both"/>
        <w:rPr>
          <w:sz w:val="22"/>
        </w:rPr>
      </w:pPr>
      <w:r>
        <w:rPr>
          <w:sz w:val="22"/>
        </w:rPr>
        <w:t>Traditionally has been a winter peaking system, but over the last several years the summer peak has grown to almost match the winter peak.  It is anticipated that Ontario prices will peak in the summer because the connected U.S. markets are summer peaking markets.</w:t>
      </w:r>
    </w:p>
    <w:p>
      <w:pPr>
        <w:pStyle w:val="Department"/>
        <w:jc w:val="both"/>
        <w:rPr>
          <w:sz w:val="22"/>
        </w:rPr>
      </w:pPr>
      <w:r>
        <w:rPr>
          <w:sz w:val="22"/>
        </w:rPr>
      </w:r>
    </w:p>
    <w:p>
      <w:pPr>
        <w:pStyle w:val="Department"/>
        <w:numPr>
          <w:ilvl w:val="0"/>
          <w:numId w:val="2"/>
        </w:numPr>
        <w:jc w:val="both"/>
        <w:rPr>
          <w:sz w:val="22"/>
        </w:rPr>
      </w:pPr>
      <w:r>
        <w:rPr>
          <w:sz w:val="22"/>
        </w:rPr>
        <w:t>Generation mix:  31.7% nuclear, 27.5% coal, 26.5% hydro, 7.9% oil/gas, 6.4% NUGs.</w:t>
      </w:r>
    </w:p>
    <w:p>
      <w:pPr>
        <w:pStyle w:val="Department"/>
        <w:jc w:val="both"/>
        <w:rPr>
          <w:sz w:val="22"/>
        </w:rPr>
      </w:pPr>
      <w:r>
        <w:rPr>
          <w:sz w:val="22"/>
        </w:rPr>
      </w:r>
    </w:p>
    <w:p>
      <w:pPr>
        <w:pStyle w:val="Department"/>
        <w:numPr>
          <w:ilvl w:val="0"/>
          <w:numId w:val="2"/>
        </w:numPr>
        <w:jc w:val="both"/>
        <w:rPr>
          <w:sz w:val="22"/>
        </w:rPr>
      </w:pPr>
      <w:r>
        <w:rPr>
          <w:sz w:val="22"/>
        </w:rPr>
        <w:t>There is about 1,750 MW of IPP capacity.</w:t>
      </w:r>
    </w:p>
    <w:p>
      <w:pPr>
        <w:pStyle w:val="Department"/>
        <w:jc w:val="both"/>
        <w:rPr>
          <w:sz w:val="22"/>
        </w:rPr>
      </w:pPr>
      <w:r>
        <w:rPr>
          <w:sz w:val="22"/>
        </w:rPr>
      </w:r>
    </w:p>
    <w:p>
      <w:pPr>
        <w:pStyle w:val="Department"/>
        <w:numPr>
          <w:ilvl w:val="0"/>
          <w:numId w:val="2"/>
        </w:numPr>
        <w:jc w:val="both"/>
        <w:rPr>
          <w:sz w:val="22"/>
        </w:rPr>
      </w:pPr>
      <w:r>
        <w:rPr>
          <w:sz w:val="22"/>
        </w:rPr>
        <w:t>Ontario is interconnected to Michigan, New York, Quebec (unsynchronized), Manitoba, and Minnesota.</w:t>
      </w:r>
    </w:p>
    <w:p>
      <w:pPr>
        <w:pStyle w:val="Department"/>
        <w:jc w:val="both"/>
        <w:rPr>
          <w:sz w:val="22"/>
        </w:rPr>
      </w:pPr>
      <w:r>
        <w:rPr>
          <w:sz w:val="22"/>
        </w:rPr>
      </w:r>
    </w:p>
    <w:p>
      <w:pPr>
        <w:pStyle w:val="Department"/>
        <w:numPr>
          <w:ilvl w:val="0"/>
          <w:numId w:val="2"/>
        </w:numPr>
        <w:jc w:val="both"/>
        <w:rPr>
          <w:sz w:val="22"/>
        </w:rPr>
      </w:pPr>
      <w:r>
        <w:rPr>
          <w:sz w:val="22"/>
        </w:rPr>
        <w:t>The delivered cost of electricity (on a system-average basis) is about 7.2¢ (Cdn.) kWh: 4.5¢ (Cdn.) generation and 2.7¢ (Cdn.) transmission and distribution, the highest in Canada.  The electricity commodity component has been frozen for 7 years.  Most consumers do not realize that prices have been frozen and, in essence, subsidized for 7 years.</w:t>
      </w:r>
    </w:p>
    <w:p>
      <w:pPr>
        <w:pStyle w:val="Department"/>
        <w:jc w:val="both"/>
        <w:rPr>
          <w:sz w:val="22"/>
        </w:rPr>
      </w:pPr>
      <w:r>
        <w:rPr>
          <w:sz w:val="22"/>
        </w:rPr>
      </w:r>
    </w:p>
    <w:p>
      <w:pPr>
        <w:pStyle w:val="Department"/>
        <w:numPr>
          <w:ilvl w:val="0"/>
          <w:numId w:val="2"/>
        </w:numPr>
        <w:jc w:val="both"/>
        <w:rPr>
          <w:sz w:val="22"/>
        </w:rPr>
      </w:pPr>
      <w:r>
        <w:rPr>
          <w:sz w:val="22"/>
        </w:rPr>
        <w:t xml:space="preserve">Beginning in the mid-1990s, Ontario examined restructuring the government-owned Ontario Hydro (“OH”).  Consideration of restructuring was driven by the massive build-up of OH debt, largely as a consequence of enormous cost overruns in the nuclear program. </w:t>
      </w:r>
    </w:p>
    <w:p>
      <w:pPr>
        <w:pStyle w:val="Department"/>
        <w:jc w:val="both"/>
        <w:rPr>
          <w:sz w:val="22"/>
        </w:rPr>
      </w:pPr>
      <w:r>
        <w:rPr>
          <w:sz w:val="22"/>
        </w:rPr>
      </w:r>
    </w:p>
    <w:p>
      <w:pPr>
        <w:pStyle w:val="Department"/>
        <w:numPr>
          <w:ilvl w:val="0"/>
          <w:numId w:val="2"/>
        </w:numPr>
        <w:jc w:val="both"/>
        <w:rPr>
          <w:sz w:val="22"/>
        </w:rPr>
      </w:pPr>
      <w:r>
        <w:rPr>
          <w:sz w:val="22"/>
        </w:rPr>
        <w:t>In the summer of 1997, an external review committee delivered a damning report on the condition and management of OH’s nuclear assets.  As a consequence of that report, a significant portion of OH’s nuclear capacity was laid up, including facilities at Bruce B (on Lake Huron) and Pickering A and B (east of Toronto).  The first 500 MW unit at Pickering A is scheduled to return to service by December 31, 2001, though a return date in mid-2002 is more likely.</w:t>
      </w:r>
    </w:p>
    <w:p>
      <w:pPr>
        <w:pStyle w:val="Department"/>
        <w:jc w:val="both"/>
        <w:rPr>
          <w:sz w:val="22"/>
        </w:rPr>
      </w:pPr>
      <w:r>
        <w:rPr>
          <w:sz w:val="22"/>
        </w:rPr>
      </w:r>
    </w:p>
    <w:p>
      <w:pPr>
        <w:pStyle w:val="Department"/>
        <w:numPr>
          <w:ilvl w:val="0"/>
          <w:numId w:val="2"/>
        </w:numPr>
        <w:jc w:val="both"/>
        <w:rPr>
          <w:sz w:val="22"/>
        </w:rPr>
      </w:pPr>
      <w:r>
        <w:rPr>
          <w:sz w:val="22"/>
        </w:rPr>
        <w:t xml:space="preserve">In November 1997, the government (the Progressive Conservative Party led by Mike Harris – the Progressive Conservatives are the Canadian equivalent of the Republican Party) announced that it was proceeding with deregulation but </w:t>
      </w:r>
      <w:r>
        <w:rPr>
          <w:sz w:val="22"/>
          <w:u w:val="single"/>
        </w:rPr>
        <w:t>not</w:t>
      </w:r>
      <w:r>
        <w:rPr>
          <w:sz w:val="22"/>
        </w:rPr>
        <w:t xml:space="preserve"> with the immediate divestiture of generation assets.</w:t>
      </w:r>
    </w:p>
    <w:p>
      <w:pPr>
        <w:pStyle w:val="Department"/>
        <w:jc w:val="both"/>
        <w:rPr>
          <w:sz w:val="22"/>
        </w:rPr>
      </w:pPr>
      <w:r>
        <w:rPr>
          <w:sz w:val="22"/>
        </w:rPr>
      </w:r>
    </w:p>
    <w:p>
      <w:pPr>
        <w:pStyle w:val="Department"/>
        <w:numPr>
          <w:ilvl w:val="0"/>
          <w:numId w:val="2"/>
        </w:numPr>
        <w:jc w:val="both"/>
        <w:rPr>
          <w:sz w:val="22"/>
        </w:rPr>
      </w:pPr>
      <w:r>
        <w:rPr>
          <w:sz w:val="22"/>
        </w:rPr>
        <w:t>In November 1998, restructuring legislation was proclaimed in force.  This signalled the end of OH’s monopoly for generating and transmitting power to end-use customers and created five new companies out of OH, including the Independent Electricity Market Operator (IMO), Ontario Hydro Services Company (now “Hydro One”), Ontario Power Generation Inc. (OPG), and Ontario Electricity Finance Corp (OEFC).</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 xml:space="preserve">The IMO is responsible for overseeing the operation of the electricity market (power pool) and managing reliability.  It is comparable to the ISOs in PJM, New England and New York. </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Hydro One owns and operates the transmission grid and also holds about 30% of Ontario’s distribution.</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OEFC holds the “stranded debt” transferred from Hydro One and OPG and is responsible for managing the NUG (QF) contracts held by OH.</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 xml:space="preserve">OPG now owns and operates Ontario Hydro’s generation assets representing approximately 94% of the available generation in the province. (OPG’s continuing market power remains a very serious concern – the Government has proposed to reduce that percentage to 35% over a 10-year timeframe).  </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Until OPG meets its market share reduction target, it will be governed by a “revenue cap” mechanism applicable to 90% of its projected sales into the Ontario market.  Revenues in excess of the “cap” will be rebated to all Ontario electricity consumers, irregardless of which supplier those consumers buy from.</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OPG has announced plans to sell in excess of 4,000 MW (a mix of nuclear, coal, heavy oil and natural gas) in the near future. A specific deal with British Energy to lease the nuclear facilities at Bruce was announced in mid July 2000.  The transaction is expected to close later this year.</w:t>
      </w:r>
    </w:p>
    <w:p>
      <w:pPr>
        <w:pStyle w:val="Department"/>
        <w:jc w:val="both"/>
        <w:rPr>
          <w:sz w:val="22"/>
        </w:rPr>
      </w:pPr>
      <w:r>
        <w:rPr>
          <w:sz w:val="22"/>
        </w:rPr>
      </w:r>
    </w:p>
    <w:p>
      <w:pPr>
        <w:pStyle w:val="Department"/>
        <w:numPr>
          <w:ilvl w:val="0"/>
          <w:numId w:val="5"/>
        </w:numPr>
        <w:jc w:val="both"/>
        <w:rPr>
          <w:sz w:val="22"/>
        </w:rPr>
      </w:pPr>
      <w:r>
        <w:rPr>
          <w:sz w:val="22"/>
        </w:rPr>
        <w:t>The target date for opening the new wholesale and retail market was originally November 2000. In the summer of 2000, that date was pushed off as a consequence of delays in the completion the IMO systems.  At that time, the delay was expected to be no more than 6 months.</w:t>
      </w:r>
    </w:p>
    <w:p>
      <w:pPr>
        <w:pStyle w:val="Department"/>
        <w:jc w:val="both"/>
        <w:rPr>
          <w:sz w:val="22"/>
        </w:rPr>
      </w:pPr>
      <w:r>
        <w:rPr>
          <w:sz w:val="22"/>
        </w:rPr>
      </w:r>
    </w:p>
    <w:p>
      <w:pPr>
        <w:pStyle w:val="Department"/>
        <w:numPr>
          <w:ilvl w:val="0"/>
          <w:numId w:val="5"/>
        </w:numPr>
        <w:jc w:val="both"/>
        <w:rPr>
          <w:sz w:val="22"/>
        </w:rPr>
      </w:pPr>
      <w:r>
        <w:rPr>
          <w:sz w:val="22"/>
        </w:rPr>
        <w:t>Over the last several months, Ontario policy makers and politicians have grown wary of proceeding with restructuring, largely as a consequence of the crisis observed in California.  Indeed, in early 2001, there was serious concern that Ontario would cancel its restructuring initiative.</w:t>
      </w:r>
    </w:p>
    <w:p>
      <w:pPr>
        <w:pStyle w:val="Department"/>
        <w:jc w:val="both"/>
        <w:rPr>
          <w:sz w:val="22"/>
        </w:rPr>
      </w:pPr>
      <w:r>
        <w:rPr>
          <w:sz w:val="22"/>
        </w:rPr>
      </w:r>
    </w:p>
    <w:p>
      <w:pPr>
        <w:pStyle w:val="Department"/>
        <w:numPr>
          <w:ilvl w:val="0"/>
          <w:numId w:val="5"/>
        </w:numPr>
        <w:jc w:val="both"/>
        <w:rPr>
          <w:sz w:val="22"/>
        </w:rPr>
      </w:pPr>
      <w:r>
        <w:rPr>
          <w:sz w:val="22"/>
        </w:rPr>
        <w:t>However, in early March 2001, the Premier publicly reaffirmed the government’s intention to proceed with restructuring.  However, the Premier said that market opening was conditional on the government being satisfied about price, supply, and impact on the environment.</w:t>
      </w:r>
    </w:p>
    <w:p>
      <w:pPr>
        <w:pStyle w:val="Department"/>
        <w:jc w:val="both"/>
        <w:rPr>
          <w:sz w:val="22"/>
        </w:rPr>
      </w:pPr>
      <w:r>
        <w:rPr>
          <w:sz w:val="22"/>
        </w:rPr>
      </w:r>
    </w:p>
    <w:p>
      <w:pPr>
        <w:pStyle w:val="Department"/>
        <w:numPr>
          <w:ilvl w:val="0"/>
          <w:numId w:val="5"/>
        </w:numPr>
        <w:jc w:val="both"/>
        <w:rPr>
          <w:sz w:val="22"/>
        </w:rPr>
      </w:pPr>
      <w:r>
        <w:rPr>
          <w:sz w:val="22"/>
        </w:rPr>
        <w:t xml:space="preserve">The Premier and the Minister of Energy (Jim Wilson) have, to their credit,  recently  reminded consumers  that prices have to go up  - particularly given the fact that rates have been frozen for  7 years. </w:t>
      </w:r>
    </w:p>
    <w:p>
      <w:pPr>
        <w:pStyle w:val="Department"/>
        <w:jc w:val="both"/>
        <w:rPr>
          <w:sz w:val="22"/>
        </w:rPr>
      </w:pPr>
      <w:r>
        <w:rPr>
          <w:sz w:val="22"/>
        </w:rPr>
      </w:r>
    </w:p>
    <w:p>
      <w:pPr>
        <w:pStyle w:val="Department"/>
        <w:numPr>
          <w:ilvl w:val="0"/>
          <w:numId w:val="5"/>
        </w:numPr>
        <w:jc w:val="both"/>
        <w:rPr>
          <w:sz w:val="22"/>
        </w:rPr>
      </w:pPr>
      <w:r>
        <w:rPr>
          <w:sz w:val="22"/>
        </w:rPr>
        <w:t>The two senior regulatory bodies in Ontario – the IMO and the Ontario Energy Board – recently released a Market Readiness Plan which targets all systems, processes and other requirements of the wholesale and retail markets to be ready for a market opening in October/November 2001.</w:t>
      </w:r>
    </w:p>
    <w:p>
      <w:pPr>
        <w:pStyle w:val="Department"/>
        <w:jc w:val="both"/>
        <w:rPr>
          <w:sz w:val="22"/>
        </w:rPr>
      </w:pPr>
      <w:r>
        <w:rPr>
          <w:sz w:val="22"/>
        </w:rPr>
      </w:r>
    </w:p>
    <w:p>
      <w:pPr>
        <w:pStyle w:val="Department"/>
        <w:numPr>
          <w:ilvl w:val="0"/>
          <w:numId w:val="5"/>
        </w:numPr>
        <w:jc w:val="both"/>
        <w:rPr>
          <w:sz w:val="22"/>
        </w:rPr>
      </w:pPr>
      <w:r>
        <w:rPr>
          <w:sz w:val="22"/>
        </w:rPr>
        <w:t>The government has not yet announced a new market opening date – though the Government has signalled that an announcement in that regard will be made in the next 4 weeks or so – likely within a week or so of the April 4 speech.</w:t>
      </w:r>
    </w:p>
    <w:p>
      <w:pPr>
        <w:pStyle w:val="Department"/>
        <w:jc w:val="both"/>
        <w:rPr>
          <w:sz w:val="22"/>
        </w:rPr>
      </w:pPr>
      <w:r>
        <w:rPr>
          <w:sz w:val="22"/>
        </w:rPr>
      </w:r>
    </w:p>
    <w:p>
      <w:pPr>
        <w:pStyle w:val="Department"/>
        <w:numPr>
          <w:ilvl w:val="0"/>
          <w:numId w:val="5"/>
        </w:numPr>
        <w:jc w:val="both"/>
        <w:rPr>
          <w:sz w:val="22"/>
        </w:rPr>
      </w:pPr>
      <w:r>
        <w:rPr>
          <w:sz w:val="22"/>
        </w:rPr>
        <w:t>The debate regarding market opening now appears to centre on whether to proceed with market opening in Fall 2001 or the Spring of 2002.  (See attached briefing note entitled “Moving Forward to Market Opening in 2001.”)</w:t>
      </w:r>
    </w:p>
    <w:p>
      <w:pPr>
        <w:pStyle w:val="Department"/>
        <w:jc w:val="both"/>
        <w:rPr>
          <w:sz w:val="22"/>
        </w:rPr>
      </w:pPr>
      <w:r>
        <w:rPr>
          <w:sz w:val="22"/>
        </w:rPr>
      </w:r>
    </w:p>
    <w:p>
      <w:pPr>
        <w:pStyle w:val="Department"/>
        <w:numPr>
          <w:ilvl w:val="0"/>
          <w:numId w:val="5"/>
        </w:numPr>
        <w:jc w:val="both"/>
        <w:rPr>
          <w:sz w:val="22"/>
        </w:rPr>
      </w:pPr>
      <w:r>
        <w:rPr>
          <w:sz w:val="22"/>
        </w:rPr>
        <w:t>Two key arguments have been advanced for opening the market in the Spring of 2002 as opposed to the Fall of 2001:</w:t>
      </w:r>
    </w:p>
    <w:p>
      <w:pPr>
        <w:pStyle w:val="Department"/>
        <w:jc w:val="both"/>
        <w:rPr>
          <w:sz w:val="22"/>
        </w:rPr>
      </w:pPr>
      <w:r>
        <w:rPr>
          <w:sz w:val="22"/>
        </w:rPr>
      </w:r>
    </w:p>
    <w:p>
      <w:pPr>
        <w:pStyle w:val="Department"/>
        <w:numPr>
          <w:ilvl w:val="0"/>
          <w:numId w:val="3"/>
        </w:numPr>
        <w:jc w:val="both"/>
        <w:rPr>
          <w:sz w:val="22"/>
        </w:rPr>
      </w:pPr>
      <w:r>
        <w:rPr>
          <w:sz w:val="22"/>
        </w:rPr>
        <w:t>The Government’s need to satisfy itself that the IMO and retail systems are in place (response:  IMO and Ontario Energy Board have considered the issue at length and said that systems will be ready in time for an opening in the October/November 2001 time frame).</w:t>
      </w:r>
    </w:p>
    <w:p>
      <w:pPr>
        <w:pStyle w:val="Department"/>
        <w:numPr>
          <w:ilvl w:val="0"/>
          <w:numId w:val="3"/>
        </w:numPr>
        <w:jc w:val="both"/>
        <w:rPr>
          <w:sz w:val="22"/>
        </w:rPr>
      </w:pPr>
      <w:r>
        <w:rPr>
          <w:sz w:val="22"/>
        </w:rPr>
        <w:t>An ill-founded belief that market opening should await the return of the first Pickering A unit (response:  there is no need to wait for Pickering A; its return will not have a material impact on prices or adequacy of supply).</w:t>
      </w:r>
    </w:p>
    <w:p>
      <w:pPr>
        <w:pStyle w:val="Department"/>
        <w:jc w:val="both"/>
        <w:rPr>
          <w:sz w:val="22"/>
        </w:rPr>
      </w:pPr>
      <w:r>
        <w:rPr>
          <w:sz w:val="22"/>
        </w:rPr>
      </w:r>
    </w:p>
    <w:p>
      <w:pPr>
        <w:pStyle w:val="Department"/>
        <w:numPr>
          <w:ilvl w:val="0"/>
          <w:numId w:val="2"/>
        </w:numPr>
        <w:jc w:val="both"/>
        <w:rPr>
          <w:sz w:val="22"/>
        </w:rPr>
      </w:pPr>
      <w:r>
        <w:rPr>
          <w:sz w:val="22"/>
        </w:rPr>
        <w:t>The Ontario wholesale electricity market design is comparable to other pool-based markets in the U.S. such as: PJM, New York, and New England (though, at this stage, without locational marginal pricing).</w:t>
      </w:r>
    </w:p>
    <w:p>
      <w:pPr>
        <w:pStyle w:val="Department"/>
        <w:jc w:val="both"/>
        <w:rPr>
          <w:sz w:val="22"/>
        </w:rPr>
      </w:pPr>
      <w:r>
        <w:rPr>
          <w:sz w:val="22"/>
        </w:rPr>
      </w:r>
    </w:p>
    <w:p>
      <w:pPr>
        <w:pStyle w:val="Department"/>
        <w:numPr>
          <w:ilvl w:val="0"/>
          <w:numId w:val="2"/>
        </w:numPr>
        <w:jc w:val="both"/>
        <w:rPr>
          <w:sz w:val="22"/>
        </w:rPr>
      </w:pPr>
      <w:r>
        <w:rPr>
          <w:sz w:val="22"/>
        </w:rPr>
        <w:t>Most distributors in Ontario are municipally-owned.  The distribution sector has gone through a process of consolidation.  The number has been reduced from over 200 in 1999 to about 90 today.  Many have been purchased by and consolidated into Hydro One.  The “wires” charges of distributors will be subject to a form of PBR as of market opening.</w:t>
      </w:r>
    </w:p>
    <w:p>
      <w:pPr>
        <w:pStyle w:val="Department"/>
        <w:jc w:val="both"/>
        <w:rPr>
          <w:sz w:val="22"/>
        </w:rPr>
      </w:pPr>
      <w:r>
        <w:rPr>
          <w:sz w:val="22"/>
        </w:rPr>
      </w:r>
    </w:p>
    <w:p>
      <w:pPr>
        <w:pStyle w:val="Department"/>
        <w:numPr>
          <w:ilvl w:val="0"/>
          <w:numId w:val="2"/>
        </w:numPr>
        <w:jc w:val="both"/>
        <w:rPr>
          <w:sz w:val="22"/>
        </w:rPr>
      </w:pPr>
      <w:r>
        <w:rPr>
          <w:sz w:val="22"/>
        </w:rPr>
        <w:t>Two key features of the Ontario market design distinguish it from the California design:</w:t>
      </w:r>
    </w:p>
    <w:p>
      <w:pPr>
        <w:pStyle w:val="Department"/>
        <w:jc w:val="both"/>
        <w:rPr>
          <w:sz w:val="22"/>
        </w:rPr>
      </w:pPr>
      <w:r>
        <w:rPr>
          <w:sz w:val="22"/>
        </w:rPr>
      </w:r>
    </w:p>
    <w:p>
      <w:pPr>
        <w:pStyle w:val="Department"/>
        <w:numPr>
          <w:ilvl w:val="0"/>
          <w:numId w:val="4"/>
        </w:numPr>
        <w:jc w:val="both"/>
        <w:rPr>
          <w:sz w:val="22"/>
        </w:rPr>
      </w:pPr>
      <w:r>
        <w:rPr>
          <w:sz w:val="22"/>
        </w:rPr>
        <w:t>Retail rates are not capped; distributors can flow through all their wholesale costs to ensure customers, though, in some instances, with a lag (see “SSS” below).</w:t>
      </w:r>
    </w:p>
    <w:p>
      <w:pPr>
        <w:pStyle w:val="Department"/>
        <w:numPr>
          <w:ilvl w:val="0"/>
          <w:numId w:val="4"/>
        </w:numPr>
        <w:jc w:val="both"/>
        <w:rPr>
          <w:sz w:val="22"/>
        </w:rPr>
      </w:pPr>
      <w:r>
        <w:rPr>
          <w:sz w:val="22"/>
        </w:rPr>
        <w:t>Ontario has gone further than any U.S. jurisdiction towards incorporating the demand side into the wholesale market.  Most large industrial customers will be direct participants in the wholesale market and will be exposed to the hourly spot price and, accordingly, have a strong incentive to manage their load.  Moreover, such industrial customers can also offer operating reserve to the IMO (by way of an offer to reduce withdrawals from the grid).</w:t>
      </w:r>
    </w:p>
    <w:p>
      <w:pPr>
        <w:pStyle w:val="Department"/>
        <w:jc w:val="both"/>
        <w:rPr>
          <w:sz w:val="22"/>
        </w:rPr>
      </w:pPr>
      <w:r>
        <w:rPr>
          <w:sz w:val="22"/>
        </w:rPr>
      </w:r>
    </w:p>
    <w:p>
      <w:pPr>
        <w:pStyle w:val="Department"/>
        <w:numPr>
          <w:ilvl w:val="0"/>
          <w:numId w:val="2"/>
        </w:numPr>
        <w:jc w:val="both"/>
        <w:rPr>
          <w:sz w:val="22"/>
        </w:rPr>
      </w:pPr>
      <w:r>
        <w:rPr>
          <w:sz w:val="22"/>
        </w:rPr>
        <w:t>The standard supply service (“SSS”) obligation (Ontario’s version of “default service”) rests with the incumbent distributor, though the distributor can choose to discharge that obligation directly, through an affiliate, or through a third party.  The Ontario Energy Board has ruled that those distributors who discharge the SSS function directly must sell power to small SSS customers (50 kW peak demand or less) at a fixed rate set annually on the basis of an OEB forecast and buy all power from the IMO pool, with the difference captured in a Purchased Power Variance Account.  The PPVA balance is rolled into rates for the next period.  Although the SSS rules technically permit the distributors to buy power from third parties, the rules create strong disincentives against such arrangements.</w:t>
      </w:r>
    </w:p>
    <w:p>
      <w:pPr>
        <w:pStyle w:val="Department"/>
        <w:jc w:val="both"/>
        <w:rPr>
          <w:sz w:val="22"/>
        </w:rPr>
      </w:pPr>
      <w:r>
        <w:rPr>
          <w:sz w:val="22"/>
        </w:rPr>
      </w:r>
    </w:p>
    <w:p>
      <w:pPr>
        <w:pStyle w:val="Department"/>
        <w:numPr>
          <w:ilvl w:val="0"/>
          <w:numId w:val="2"/>
        </w:numPr>
        <w:jc w:val="both"/>
        <w:rPr>
          <w:sz w:val="22"/>
        </w:rPr>
      </w:pPr>
      <w:r>
        <w:rPr>
          <w:sz w:val="22"/>
        </w:rPr>
        <w:t>Large SSS customers (over 50 kW peak demand) will be sold power on a pure spot-market pass through basis.</w:t>
      </w:r>
    </w:p>
    <w:p>
      <w:pPr>
        <w:pStyle w:val="Department"/>
        <w:jc w:val="both"/>
        <w:rPr>
          <w:sz w:val="22"/>
        </w:rPr>
      </w:pPr>
      <w:r>
        <w:rPr>
          <w:sz w:val="22"/>
        </w:rPr>
      </w:r>
    </w:p>
    <w:p>
      <w:pPr>
        <w:pStyle w:val="Department"/>
        <w:numPr>
          <w:ilvl w:val="0"/>
          <w:numId w:val="2"/>
        </w:numPr>
        <w:jc w:val="both"/>
        <w:rPr>
          <w:sz w:val="22"/>
        </w:rPr>
      </w:pPr>
      <w:r>
        <w:rPr>
          <w:sz w:val="22"/>
        </w:rPr>
        <w:t>End-use customers will also be charged a Debt Reduction Charge.  That charge has been fixed at 0.7 cents kW/h. That will go to pay down the standed debt held by OEFC.</w:t>
      </w:r>
    </w:p>
    <w:p>
      <w:pPr>
        <w:pStyle w:val="Department"/>
        <w:jc w:val="both"/>
        <w:rPr>
          <w:sz w:val="22"/>
        </w:rPr>
      </w:pPr>
      <w:r>
        <w:rPr>
          <w:sz w:val="22"/>
        </w:rPr>
      </w:r>
    </w:p>
    <w:p>
      <w:pPr>
        <w:pStyle w:val="Department"/>
        <w:numPr>
          <w:ilvl w:val="0"/>
          <w:numId w:val="2"/>
        </w:numPr>
        <w:jc w:val="both"/>
        <w:rPr>
          <w:sz w:val="22"/>
        </w:rPr>
      </w:pPr>
      <w:r>
        <w:rPr>
          <w:sz w:val="22"/>
        </w:rPr>
        <w:t xml:space="preserve">The large industrial users have successfully lobbied the Government  to retain, following market opening,  the benefit of the very heavily subsidized  bundled rates that  they are currently receiving from  OPG.  Those  special rates will be phased out over a 4 year period.  There is no question  that these “transitional”  rates arrangements have adversely affected the ability of Enron Canada nad others to compete. </w:t>
      </w:r>
    </w:p>
    <w:p>
      <w:pPr>
        <w:pStyle w:val="Department"/>
        <w:jc w:val="both"/>
        <w:rPr>
          <w:sz w:val="22"/>
        </w:rPr>
      </w:pPr>
      <w:r>
        <w:rPr>
          <w:sz w:val="22"/>
        </w:rPr>
      </w:r>
    </w:p>
    <w:p>
      <w:pPr>
        <w:pStyle w:val="Department"/>
        <w:jc w:val="both"/>
        <w:rPr>
          <w:sz w:val="22"/>
        </w:rPr>
      </w:pPr>
      <w:r>
        <w:rPr>
          <w:sz w:val="22"/>
        </w:rPr>
      </w:r>
    </w:p>
    <w:p>
      <w:pPr>
        <w:pStyle w:val="Department"/>
        <w:numPr>
          <w:ilvl w:val="0"/>
          <w:numId w:val="2"/>
        </w:numPr>
        <w:jc w:val="both"/>
        <w:rPr>
          <w:sz w:val="22"/>
        </w:rPr>
      </w:pPr>
      <w:r>
        <w:rPr>
          <w:sz w:val="22"/>
        </w:rPr>
        <w:t>Several large new generation projects have been announced.  The most important are a project by TransAlta (500 MW natural gas) and Sithe (800 MW natural gas).  The development of the TransAlta project is proceeding.  Commentators remain skeptical about the Sithe project.</w:t>
      </w:r>
    </w:p>
    <w:p>
      <w:pPr>
        <w:pStyle w:val="Department"/>
        <w:jc w:val="both"/>
        <w:rPr>
          <w:sz w:val="22"/>
        </w:rPr>
      </w:pPr>
      <w:r>
        <w:rPr>
          <w:sz w:val="22"/>
        </w:rPr>
      </w:r>
    </w:p>
    <w:p>
      <w:pPr>
        <w:pStyle w:val="Department"/>
        <w:jc w:val="both"/>
        <w:rPr>
          <w:sz w:val="12"/>
        </w:rPr>
      </w:pPr>
      <w:r>
        <w:rPr>
          <w:sz w:val="12"/>
        </w:rPr>
      </w:r>
    </w:p>
    <w:p>
      <w:pPr>
        <w:pStyle w:val="Department"/>
        <w:jc w:val="both"/>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/mnt/main-storage/datasets/enron-docs/doc/lay_briefing_note-e978dbc28581f9399b8a5040ffa3d22af5fdf392caad17aab92840ed6e1c5520.doc</w:t>
      </w:r>
      <w:r>
        <w:rPr>
          <w:sz w:val="12"/>
        </w:rPr>
        <w:fldChar w:fldCharType="end"/>
      </w:r>
    </w:p>
    <w:sectPr>
      <w:headerReference w:type="default" r:id="rId3"/>
      <w:headerReference w:type="first" r:id="rId4"/>
      <w:footerReference w:type="default" r:id="rId5"/>
      <w:footerReference w:type="first" r:id="rId6"/>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sz w:val="22"/>
      </w:rPr>
    </w:pPr>
    <w:r>
      <w:rPr>
        <w:sz w:val="22"/>
      </w:rPr>
      <w:tab/>
      <w:tab/>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tabs>
        <w:tab w:val="clear" w:pos="8640"/>
        <w:tab w:val="center" w:pos="4320" w:leader="none"/>
        <w:tab w:val="right" w:pos="9360" w:leader="none"/>
      </w:tabs>
      <w:rPr>
        <w:sz w:val="22"/>
      </w:rPr>
    </w:pPr>
    <w:r>
      <w:rPr>
        <w:sz w:val="22"/>
      </w:rPr>
    </w:r>
  </w:p>
  <w:p>
    <w:pPr>
      <w:pStyle w:val="Header"/>
      <w:tabs>
        <w:tab w:val="clear" w:pos="8640"/>
        <w:tab w:val="center" w:pos="4320" w:leader="none"/>
        <w:tab w:val="right" w:pos="9360" w:leader="none"/>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93726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Confidential</w:t>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Confidential</w:t>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 w:val="right" w:pos="936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aRobH ECT Inter Office Memo.dot</Template>
  <TotalTime>186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2001-03-19T16:29:00Z</dcterms:created>
  <dc:creator>rhemsto</dc:creator>
  <dc:description/>
  <dc:language>en-CA</dc:language>
  <cp:lastModifiedBy>adadson</cp:lastModifiedBy>
  <cp:lastPrinted>2001-03-22T09:42:00Z</cp:lastPrinted>
  <dcterms:modified xsi:type="dcterms:W3CDTF">2001-03-22T15:52:00Z</dcterms:modified>
  <cp:revision>51</cp:revision>
  <dc:subject/>
  <dc:title>Eron Capital &amp; Trade Resources Memo</dc:title>
</cp:coreProperties>
</file>