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r>
    </w:p>
    <w:p>
      <w:pPr>
        <w:pStyle w:val="BodyText2"/>
        <w:jc w:val="center"/>
        <w:rPr/>
      </w:pPr>
      <w:r>
        <w:rPr/>
        <w:t>DISCUSSION DOCUMENT FOR THE PURCHASE AND SALE OF NATURAL GAS</w:t>
      </w:r>
    </w:p>
    <w:p>
      <w:pPr>
        <w:pStyle w:val="Normal"/>
        <w:jc w:val="center"/>
        <w:rPr>
          <w:b/>
          <w:sz w:val="28"/>
        </w:rPr>
      </w:pPr>
      <w:r>
        <w:rPr>
          <w:b/>
          <w:sz w:val="28"/>
        </w:rPr>
      </w:r>
    </w:p>
    <w:p>
      <w:pPr>
        <w:pStyle w:val="Heading1"/>
        <w:ind w:hanging="0" w:start="0"/>
        <w:rPr>
          <w:sz w:val="28"/>
        </w:rPr>
      </w:pPr>
      <w:r>
        <w:rPr>
          <w:sz w:val="28"/>
        </w:rPr>
        <w:t>September 20,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2160" w:start="2160" w:end="0"/>
        <w:jc w:val="both"/>
        <w:rPr/>
      </w:pPr>
      <w:r>
        <w:rPr>
          <w:b/>
          <w:sz w:val="24"/>
        </w:rPr>
        <w:t>BUYER:</w:t>
      </w:r>
      <w:r>
        <w:rPr>
          <w:sz w:val="24"/>
        </w:rPr>
        <w:tab/>
        <w:t>Enron North America Corp (“Enron”)</w:t>
      </w:r>
    </w:p>
    <w:p>
      <w:pPr>
        <w:pStyle w:val="Normal"/>
        <w:jc w:val="both"/>
        <w:rPr>
          <w:sz w:val="24"/>
        </w:rPr>
      </w:pPr>
      <w:r>
        <w:rPr>
          <w:sz w:val="24"/>
        </w:rPr>
      </w:r>
    </w:p>
    <w:p>
      <w:pPr>
        <w:pStyle w:val="Normal"/>
        <w:jc w:val="both"/>
        <w:rPr/>
      </w:pPr>
      <w:r>
        <w:rPr>
          <w:b/>
          <w:sz w:val="24"/>
        </w:rPr>
        <w:t>SELLER:</w:t>
      </w:r>
      <w:r>
        <w:rPr>
          <w:sz w:val="24"/>
        </w:rPr>
        <w:tab/>
        <w:tab/>
        <w:t>Lawton Oil Company (Lawton)</w:t>
      </w:r>
    </w:p>
    <w:p>
      <w:pPr>
        <w:pStyle w:val="Normal"/>
        <w:jc w:val="both"/>
        <w:rPr>
          <w:sz w:val="24"/>
        </w:rPr>
      </w:pPr>
      <w:r>
        <w:rPr>
          <w:sz w:val="24"/>
        </w:rPr>
      </w:r>
    </w:p>
    <w:p>
      <w:pPr>
        <w:pStyle w:val="Normal"/>
        <w:ind w:hanging="2160" w:start="2160" w:end="0"/>
        <w:jc w:val="both"/>
        <w:rPr>
          <w:b/>
          <w:sz w:val="24"/>
        </w:rPr>
      </w:pPr>
      <w:r>
        <w:rPr>
          <w:b/>
          <w:sz w:val="24"/>
        </w:rPr>
        <w:t>CONTRACT</w:t>
      </w:r>
    </w:p>
    <w:p>
      <w:pPr>
        <w:pStyle w:val="Normal"/>
        <w:ind w:hanging="2160" w:start="2160" w:end="0"/>
        <w:jc w:val="both"/>
        <w:rPr/>
      </w:pPr>
      <w:r>
        <w:rPr>
          <w:b/>
          <w:sz w:val="24"/>
        </w:rPr>
        <w:t>QUANTITY:</w:t>
      </w:r>
      <w:r>
        <w:rPr>
          <w:sz w:val="24"/>
        </w:rPr>
        <w:tab/>
        <w:t>Dedication of 100% of Lawton’s coal bed methane production from ________________up to a total of ________MMBtu per day</w:t>
      </w:r>
    </w:p>
    <w:p>
      <w:pPr>
        <w:pStyle w:val="Normal"/>
        <w:ind w:hanging="2160" w:start="2160" w:end="0"/>
        <w:jc w:val="both"/>
        <w:rPr>
          <w:sz w:val="24"/>
        </w:rPr>
      </w:pPr>
      <w:r>
        <w:rPr>
          <w:sz w:val="24"/>
        </w:rPr>
      </w:r>
    </w:p>
    <w:p>
      <w:pPr>
        <w:pStyle w:val="Heading8"/>
        <w:jc w:val="both"/>
        <w:rPr/>
      </w:pPr>
      <w:r>
        <w:rPr/>
        <w:t>CONTRACT</w:t>
      </w:r>
    </w:p>
    <w:p>
      <w:pPr>
        <w:pStyle w:val="Normal"/>
        <w:ind w:hanging="2160" w:start="2160" w:end="0"/>
        <w:jc w:val="both"/>
        <w:rPr/>
      </w:pPr>
      <w:r>
        <w:rPr>
          <w:b/>
          <w:sz w:val="24"/>
        </w:rPr>
        <w:t>TERM:</w:t>
      </w:r>
      <w:r>
        <w:rPr>
          <w:sz w:val="24"/>
        </w:rPr>
        <w:tab/>
        <w:t>October 1, 2001 – October 31, 2002</w:t>
      </w:r>
    </w:p>
    <w:p>
      <w:pPr>
        <w:pStyle w:val="Normal"/>
        <w:ind w:hanging="2160" w:start="2160" w:end="0"/>
        <w:jc w:val="both"/>
        <w:rPr>
          <w:sz w:val="24"/>
        </w:rPr>
      </w:pPr>
      <w:r>
        <w:rPr>
          <w:sz w:val="24"/>
        </w:rPr>
      </w:r>
    </w:p>
    <w:p>
      <w:pPr>
        <w:pStyle w:val="Heading9"/>
        <w:rPr/>
      </w:pPr>
      <w:r>
        <w:rPr/>
        <w:t>DELIVERY</w:t>
      </w:r>
    </w:p>
    <w:p>
      <w:pPr>
        <w:pStyle w:val="Normal"/>
        <w:ind w:hanging="2160" w:start="2160" w:end="0"/>
        <w:jc w:val="both"/>
        <w:rPr/>
      </w:pPr>
      <w:r>
        <w:rPr>
          <w:b/>
          <w:sz w:val="24"/>
        </w:rPr>
        <w:t>POINT:</w:t>
      </w:r>
      <w:r>
        <w:rPr>
          <w:sz w:val="24"/>
        </w:rPr>
        <w:tab/>
        <w:t>At the interconnection between the Lawton wellhead facilities and the applicable gathering system.  However, all quoted prices are equivalent to “into Fort Union” prices.</w:t>
      </w:r>
    </w:p>
    <w:p>
      <w:pPr>
        <w:pStyle w:val="Normal"/>
        <w:tabs>
          <w:tab w:val="clear" w:pos="720"/>
          <w:tab w:val="left" w:pos="6765" w:leader="none"/>
        </w:tabs>
        <w:jc w:val="both"/>
        <w:rPr>
          <w:sz w:val="24"/>
        </w:rPr>
      </w:pPr>
      <w:r>
        <w:rPr>
          <w:sz w:val="24"/>
        </w:rPr>
        <w:tab/>
      </w:r>
    </w:p>
    <w:p>
      <w:pPr>
        <w:pStyle w:val="BodyTextIndent"/>
        <w:rPr/>
      </w:pPr>
      <w:r>
        <w:rPr>
          <w:b/>
          <w:bCs/>
          <w:sz w:val="24"/>
        </w:rPr>
        <w:t>GAS PRICE:</w:t>
        <w:tab/>
      </w:r>
      <w:r>
        <w:rPr>
          <w:sz w:val="24"/>
        </w:rPr>
        <w:t>For volumes of gas delivered hereunder each day for up to eighty percent (80%) of seller’s First of the Month Scheduled Volume the price will be the following Monthly indexes:</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Index minus $.15 less the gathering services fees on Bear Paw Energy</w:t>
      </w:r>
    </w:p>
    <w:p>
      <w:pPr>
        <w:pStyle w:val="Normal"/>
        <w:ind w:start="2160" w:end="0"/>
        <w:jc w:val="both"/>
        <w:rPr>
          <w:sz w:val="24"/>
        </w:rPr>
      </w:pPr>
      <w:r>
        <w:rPr>
          <w:sz w:val="24"/>
        </w:rPr>
        <w:t>Issue: First-of-the-month issue for each month during the Relevant Period.</w:t>
      </w:r>
    </w:p>
    <w:p>
      <w:pPr>
        <w:pStyle w:val="Normal"/>
        <w:ind w:start="2160" w:end="0"/>
        <w:jc w:val="both"/>
        <w:rPr>
          <w:sz w:val="24"/>
        </w:rPr>
      </w:pPr>
      <w:r>
        <w:rPr>
          <w:sz w:val="24"/>
        </w:rPr>
      </w:r>
    </w:p>
    <w:p>
      <w:pPr>
        <w:pStyle w:val="Normal"/>
        <w:ind w:start="2160" w:end="0"/>
        <w:jc w:val="both"/>
        <w:rPr>
          <w:sz w:val="24"/>
        </w:rPr>
      </w:pPr>
      <w:r>
        <w:rPr>
          <w:sz w:val="24"/>
        </w:rPr>
        <w:t>The remaining 20% of seller’s First of the Month Scheduled Volume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Midpoint index minus $.15 less the gathering services fees on the applicable gathering system</w:t>
      </w:r>
    </w:p>
    <w:p>
      <w:pPr>
        <w:pStyle w:val="Normal"/>
        <w:ind w:start="2160" w:end="0"/>
        <w:jc w:val="both"/>
        <w:rPr>
          <w:sz w:val="24"/>
        </w:rPr>
      </w:pPr>
      <w:r>
        <w:rPr>
          <w:sz w:val="24"/>
        </w:rPr>
        <w:t>Issue: Daily issue for the Relevant Period.</w:t>
      </w:r>
    </w:p>
    <w:p>
      <w:pPr>
        <w:pStyle w:val="Normal"/>
        <w:ind w:start="2160" w:end="0"/>
        <w:jc w:val="both"/>
        <w:rPr>
          <w:sz w:val="24"/>
        </w:rPr>
      </w:pPr>
      <w:r>
        <w:rPr>
          <w:sz w:val="24"/>
        </w:rPr>
      </w:r>
    </w:p>
    <w:p>
      <w:pPr>
        <w:pStyle w:val="Normal"/>
        <w:ind w:start="2160" w:end="0"/>
        <w:jc w:val="both"/>
        <w:rPr>
          <w:sz w:val="24"/>
        </w:rPr>
      </w:pPr>
      <w:r>
        <w:rPr>
          <w:sz w:val="24"/>
        </w:rPr>
        <w:t>*The Gas Daily pricing is meant to capture the swings in production and operations.</w:t>
      </w:r>
    </w:p>
    <w:p>
      <w:pPr>
        <w:pStyle w:val="Normal"/>
        <w:ind w:start="90" w:end="0"/>
        <w:jc w:val="both"/>
        <w:rPr>
          <w:b/>
          <w:sz w:val="24"/>
        </w:rPr>
      </w:pPr>
      <w:r>
        <w:rPr>
          <w:b/>
          <w:sz w:val="24"/>
        </w:rPr>
        <w:t>SCHEDULING</w:t>
      </w:r>
    </w:p>
    <w:p>
      <w:pPr>
        <w:pStyle w:val="Normal"/>
        <w:ind w:start="90" w:end="0"/>
        <w:jc w:val="both"/>
        <w:rPr/>
      </w:pPr>
      <w:r>
        <w:rPr>
          <w:b/>
          <w:sz w:val="24"/>
        </w:rPr>
        <w:t>And PAYMENTS:</w:t>
      </w:r>
      <w:r>
        <w:rPr>
          <w:sz w:val="24"/>
        </w:rPr>
        <w:tab/>
      </w:r>
    </w:p>
    <w:p>
      <w:pPr>
        <w:pStyle w:val="Normal"/>
        <w:numPr>
          <w:ilvl w:val="0"/>
          <w:numId w:val="2"/>
        </w:numPr>
        <w:jc w:val="both"/>
        <w:rPr>
          <w:b/>
          <w:sz w:val="24"/>
        </w:rPr>
      </w:pPr>
      <w:r>
        <w:rPr>
          <w:sz w:val="24"/>
        </w:rPr>
        <w:t>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This volume will be the “First of the Month Scheduled Volume”.</w:t>
      </w:r>
      <w:r>
        <w:rPr>
          <w:b/>
          <w:sz w:val="24"/>
        </w:rPr>
        <w:t xml:space="preserve"> </w:t>
      </w:r>
    </w:p>
    <w:p>
      <w:pPr>
        <w:pStyle w:val="Normal"/>
        <w:numPr>
          <w:ilvl w:val="0"/>
          <w:numId w:val="2"/>
        </w:numPr>
        <w:jc w:val="both"/>
        <w:rPr>
          <w:b/>
          <w:sz w:val="24"/>
        </w:rPr>
      </w:pPr>
      <w:r>
        <w:rPr>
          <w:bCs/>
          <w:sz w:val="24"/>
        </w:rPr>
        <w:t>All payments will be made based upon the point of title transfer, which in this case is assumed to be the wellhead.  Enron will manage all aspects of Lawton's logistics and scheduling.</w:t>
      </w:r>
    </w:p>
    <w:sectPr>
      <w:headerReference w:type="default" r:id="rId2"/>
      <w:footerReference w:type="default" r:id="rId3"/>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This document is not intended to create a binding offer or contract for the purchase and/or sale natural gas between Lawton Oil and Enron.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tab/>
    </w:r>
    <w:r>
      <w:rPr>
        <w:i/>
        <w:sz w:val="24"/>
      </w:rPr>
      <w:t>Confidential and Proprietary</w:t>
    </w:r>
  </w:p>
  <w:p>
    <w:pPr>
      <w:pStyle w:val="Header"/>
      <w:jc w:val="center"/>
      <w:rPr/>
    </w:pPr>
    <w:r>
      <w:rPr>
        <w:i/>
        <w:sz w:val="24"/>
      </w:rPr>
      <w:tab/>
      <w:t>For Discussion Purposes Only</w:t>
    </w:r>
    <w:r>
      <w:rPr>
        <w:i/>
      </w:rPr>
      <w:b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outlineLvl w:val="7"/>
    </w:pPr>
    <w:rPr>
      <w:b/>
      <w:sz w:val="24"/>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2001-09-20T21:15:00Z</dcterms:created>
  <dc:creator>Jim Buerkle</dc:creator>
  <dc:description/>
  <dc:language>en-CA</dc:language>
  <cp:lastModifiedBy>mwhitt</cp:lastModifiedBy>
  <cp:lastPrinted>2001-09-05T16:50:00Z</cp:lastPrinted>
  <dcterms:modified xsi:type="dcterms:W3CDTF">2001-09-21T11:33:00Z</dcterms:modified>
  <cp:revision>3</cp:revision>
  <dc:subject/>
  <dc:title>ENA Confidential</dc:title>
</cp:coreProperties>
</file>