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552575" cy="61087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552575" cy="61087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Administration / Support</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Administration / Support</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VARGAS, LAURA</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QUIGLEY, HENRY H</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FINANCIAL GAS SUPPORT</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ADMINISTRATIVE SUPPORT</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CLERK</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NOV 29, 1999</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NOV 29, 1999</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Laura is very receptive to new ideas. She pulls ideas from several different groups to improve the deal entry process for the Price Book. She also works very well with the Risk Book Administrator to check out the deals on a daily basis.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Laura has good listening skills and response to inquiries appropriately. She communicates with traders at many levels, along with the entire risk group; also she works closely with the confirmations group. Laura also will ask questions in an effective manner to learn more for her job.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Laura works well as a member of a team. She works with several different groups and always tries to take into consideration all members before making the finial decision. When Laura finishes her tasks she always Askes if there is anything more she can do.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Serves as a role model for peers in approaching her work with the values that Enron asks for from the employees. She has also helped to train a fellow employee in the financial risk group</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SKILLS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Laura has a great rapport with multiple groups. She has a high understanding of the current tasks that she performs. She pulls from her current knowledge that she has amassed at Enron to trouble shoot problems as they arise. Laura also is responsable for the input of the origination of the ng-price book.</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As a result of her ability to learn quickly Laura has demonstrated a great working knowledge of the systems used to support the natural gas business. She can calc risk books and set up post ids along with setting up P&amp;L rolls.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1. High rate of accuracy 2. Ability to communicate well 3. She is a back up for several book administrators 4. Always striving to learn more about the trading business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Laura reports to me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High Accuracy Ability to communicate effectively Great ability to pick up tasks very fast willing to go the extra mile to get the job done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Understudying the basics of the natural gas instruments traded from a risk perspective Gain a greater knowledge of the Profit and Loss side of the trading business. Ability to pin point problems with in a risk portfolio and solve them.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r>
    </w:p>
    <w:p>
      <w:pPr>
        <w:pStyle w:val="Heading2"/>
        <w:ind w:hanging="0" w:start="0"/>
        <w:rPr>
          <w:sz w:val="28"/>
          <w:u w:val="none"/>
        </w:rPr>
      </w:pPr>
      <w:r>
        <w:rPr>
          <w:sz w:val="28"/>
        </w:rPr>
        <w:drawing>
          <wp:inline distT="0" distB="0" distL="0" distR="0">
            <wp:extent cx="1282065" cy="5054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282065" cy="50546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6">
                <wp:simplePos x="0" y="0"/>
                <wp:positionH relativeFrom="column">
                  <wp:posOffset>2190115</wp:posOffset>
                </wp:positionH>
                <wp:positionV relativeFrom="paragraph">
                  <wp:posOffset>-4445</wp:posOffset>
                </wp:positionV>
                <wp:extent cx="3117850" cy="740410"/>
                <wp:effectExtent l="0" t="0" r="0" b="0"/>
                <wp:wrapNone/>
                <wp:docPr id="4" name="Frame2"/>
                <a:graphic xmlns:a="http://schemas.openxmlformats.org/drawingml/2006/main">
                  <a:graphicData uri="http://schemas.microsoft.com/office/word/2010/wordprocessingShape">
                    <wps:wsp>
                      <wps:cNvSpPr txBox="1"/>
                      <wps:spPr>
                        <a:xfrm>
                          <a:off x="0" y="0"/>
                          <a:ext cx="3117850" cy="740410"/>
                        </a:xfrm>
                        <a:prstGeom prst="rect"/>
                        <a:solidFill>
                          <a:srgbClr val="FFFFFF"/>
                        </a:solidFill>
                        <a:ln w="9525">
                          <a:solidFill>
                            <a:srgbClr val="000000"/>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28"/>
                              </w:rPr>
                              <w:t xml:space="preserve">Administration / Support </w:t>
                            </w:r>
                          </w:p>
                          <w:p>
                            <w:pPr>
                              <w:pStyle w:val="Heading2"/>
                              <w:ind w:hanging="0" w:start="0"/>
                              <w:rPr>
                                <w:sz w:val="28"/>
                              </w:rPr>
                            </w:pPr>
                            <w:r>
                              <w:rPr>
                                <w:sz w:val="28"/>
                              </w:rPr>
                            </w:r>
                          </w:p>
                          <w:p>
                            <w:pPr>
                              <w:pStyle w:val="Normal"/>
                              <w:jc w:val="center"/>
                              <w:rPr>
                                <w:sz w:val="28"/>
                              </w:rPr>
                            </w:pPr>
                            <w:r>
                              <w:rPr>
                                <w:sz w:val="28"/>
                              </w:rPr>
                            </w:r>
                          </w:p>
                          <w:p>
                            <w:pPr>
                              <w:pStyle w:val="Normal"/>
                              <w:rPr>
                                <w:sz w:val="28"/>
                              </w:rPr>
                            </w:pPr>
                            <w:r>
                              <w:rPr>
                                <w:sz w:val="28"/>
                              </w:rPr>
                            </w:r>
                          </w:p>
                        </w:txbxContent>
                      </wps:txbx>
                      <wps:bodyPr anchor="t" lIns="91440" tIns="45720" rIns="91440" bIns="45720">
                        <a:noAutofit/>
                      </wps:bodyPr>
                    </wps:wsp>
                  </a:graphicData>
                </a:graphic>
              </wp:anchor>
            </w:drawing>
          </mc:Choice>
          <mc:Fallback>
            <w:pict>
              <v:rect fillcolor="#FFFFFF" strokecolor="#000000" strokeweight="0pt" style="position:absolute;rotation:-0;width:245.5pt;height:58.3pt;mso-wrap-distance-left:9.05pt;mso-wrap-distance-right:9.05pt;mso-wrap-distance-top:0pt;mso-wrap-distance-bottom:0pt;margin-top:-0.35pt;mso-position-vertical-relative:text;margin-left:172.4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28"/>
                        </w:rPr>
                        <w:t xml:space="preserve">Administration / Support </w:t>
                      </w:r>
                    </w:p>
                    <w:p>
                      <w:pPr>
                        <w:pStyle w:val="Heading2"/>
                        <w:ind w:hanging="0" w:start="0"/>
                        <w:rPr>
                          <w:sz w:val="28"/>
                        </w:rPr>
                      </w:pPr>
                      <w:r>
                        <w:rPr>
                          <w:sz w:val="28"/>
                        </w:rPr>
                      </w:r>
                    </w:p>
                    <w:p>
                      <w:pPr>
                        <w:pStyle w:val="Normal"/>
                        <w:jc w:val="center"/>
                        <w:rPr>
                          <w:sz w:val="28"/>
                        </w:rPr>
                      </w:pPr>
                      <w:r>
                        <w:rPr>
                          <w:sz w:val="28"/>
                        </w:rPr>
                      </w:r>
                    </w:p>
                    <w:p>
                      <w:pPr>
                        <w:pStyle w:val="Normal"/>
                        <w:rPr>
                          <w:sz w:val="28"/>
                        </w:rPr>
                      </w:pPr>
                      <w:r>
                        <w:rPr>
                          <w:sz w:val="28"/>
                        </w:rPr>
                      </w:r>
                    </w:p>
                  </w:txbxContent>
                </v:textbox>
                <w10:wrap type="none"/>
              </v:rect>
            </w:pict>
          </mc:Fallback>
        </mc:AlternateContent>
      </w:r>
    </w:p>
    <w:p>
      <w:pPr>
        <w:pStyle w:val="Heading2"/>
        <w:ind w:hanging="0" w:start="0"/>
        <w:rPr>
          <w:sz w:val="28"/>
          <w:u w:val="none"/>
        </w:rPr>
      </w:pPr>
      <w:r>
        <w:rPr>
          <w:sz w:val="28"/>
          <w:u w:val="none"/>
        </w:rPr>
      </w:r>
    </w:p>
    <w:p>
      <w:pPr>
        <w:pStyle w:val="Heading2"/>
        <w:ind w:hanging="0" w:start="0"/>
        <w:rPr>
          <w:sz w:val="28"/>
          <w:u w:val="none"/>
        </w:rPr>
      </w:pPr>
      <w:r>
        <w:rPr>
          <w:sz w:val="28"/>
          <w:u w:val="none"/>
        </w:rPr>
      </w:r>
    </w:p>
    <w:p>
      <w:pPr>
        <w:pStyle w:val="Heading2"/>
        <w:ind w:hanging="0" w:start="0"/>
        <w:rPr>
          <w:sz w:val="28"/>
          <w:u w:val="none"/>
          <w:lang w:val="en-CA"/>
        </w:rPr>
      </w:pPr>
      <w:r>
        <w:rPr>
          <w:sz w:val="28"/>
          <w:u w:val="none"/>
          <w:lang w:val="en-CA"/>
        </w:rPr>
      </w:r>
      <w:r>
        <mc:AlternateContent>
          <mc:Choice Requires="wps">
            <w:drawing>
              <wp:anchor behindDoc="0" distT="0" distB="0" distL="114935" distR="114935" simplePos="0" locked="0" layoutInCell="1" allowOverlap="1" relativeHeight="5">
                <wp:simplePos x="0" y="0"/>
                <wp:positionH relativeFrom="column">
                  <wp:posOffset>1367155</wp:posOffset>
                </wp:positionH>
                <wp:positionV relativeFrom="paragraph">
                  <wp:posOffset>-8077200</wp:posOffset>
                </wp:positionV>
                <wp:extent cx="5038090" cy="557530"/>
                <wp:effectExtent l="0" t="0" r="0" b="0"/>
                <wp:wrapNone/>
                <wp:docPr id="5" name="Frame3"/>
                <a:graphic xmlns:a="http://schemas.openxmlformats.org/drawingml/2006/main">
                  <a:graphicData uri="http://schemas.microsoft.com/office/word/2010/wordprocessingShape">
                    <wps:wsp>
                      <wps:cNvSpPr txBox="1"/>
                      <wps:spPr>
                        <a:xfrm>
                          <a:off x="0" y="0"/>
                          <a:ext cx="5038090" cy="55753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396.7pt;height:43.9pt;mso-wrap-distance-left:9.05pt;mso-wrap-distance-right:9.05pt;mso-wrap-distance-top:0pt;mso-wrap-distance-bottom:0pt;margin-top:-636pt;mso-position-vertical-relative:text;margin-left:107.65pt;mso-position-horizontal-relative:text">
                <v:textbox>
                  <w:txbxContent>
                    <w:p>
                      <w:pPr>
                        <w:pStyle w:val="Normal"/>
                        <w:rPr/>
                      </w:pPr>
                      <w:r>
                        <w:rPr/>
                      </w:r>
                    </w:p>
                  </w:txbxContent>
                </v:textbox>
                <w10:wrap type="none"/>
              </v:rect>
            </w:pict>
          </mc:Fallback>
        </mc:AlternateContent>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 / 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Encourages a climate of support for the creation and implementation of new ideas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suggest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COMMUNICATION</w:t>
            </w:r>
          </w:p>
        </w:tc>
        <w:tc>
          <w:tcPr>
            <w:tcW w:w="7020" w:type="dxa"/>
            <w:tcBorders>
              <w:top w:val="single" w:sz="4" w:space="0" w:color="000000"/>
              <w:start w:val="single" w:sz="4" w:space="0" w:color="000000"/>
              <w:bottom w:val="single" w:sz="4" w:space="0" w:color="000000"/>
              <w:end w:val="single" w:sz="4" w:space="0" w:color="000000"/>
            </w:tcBorders>
          </w:tcPr>
          <w:p>
            <w:pPr>
              <w:pStyle w:val="Heading1"/>
              <w:numPr>
                <w:ilvl w:val="0"/>
                <w:numId w:val="2"/>
              </w:numPr>
              <w:rPr>
                <w:b w:val="false"/>
              </w:rPr>
            </w:pPr>
            <w:r>
              <w:rPr>
                <w:b w:val="false"/>
              </w:rPr>
              <w:t>Communicates effectively, concisely, and appropriately</w:t>
            </w:r>
          </w:p>
          <w:p>
            <w:pPr>
              <w:pStyle w:val="Normal"/>
              <w:numPr>
                <w:ilvl w:val="0"/>
                <w:numId w:val="2"/>
              </w:numPr>
              <w:rPr/>
            </w:pPr>
            <w:r>
              <w:rPr/>
              <w:t>Utilizes effective methods of written and verbal communication.</w:t>
            </w:r>
          </w:p>
          <w:p>
            <w:pPr>
              <w:pStyle w:val="Normal"/>
              <w:numPr>
                <w:ilvl w:val="0"/>
                <w:numId w:val="2"/>
              </w:numPr>
              <w:rPr/>
            </w:pPr>
            <w:r>
              <w:rPr/>
              <w:t>Actively participates in sharing information appropriately</w:t>
            </w:r>
          </w:p>
          <w:p>
            <w:pPr>
              <w:pStyle w:val="Normal"/>
              <w:numPr>
                <w:ilvl w:val="0"/>
                <w:numId w:val="2"/>
              </w:numPr>
              <w:rPr/>
            </w:pPr>
            <w:r>
              <w:rPr/>
              <w:t>Practices effective listening skills</w:t>
            </w:r>
          </w:p>
          <w:p>
            <w:pPr>
              <w:pStyle w:val="Normal"/>
              <w:numPr>
                <w:ilvl w:val="0"/>
                <w:numId w:val="2"/>
              </w:numPr>
              <w:rPr/>
            </w:pPr>
            <w:r>
              <w:rPr/>
              <w:t>Able to form appropriate support networks across reporting lines</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Supports collaborative culture by building trust</w:t>
            </w:r>
          </w:p>
          <w:p>
            <w:pPr>
              <w:pStyle w:val="Normal"/>
              <w:numPr>
                <w:ilvl w:val="0"/>
                <w:numId w:val="2"/>
              </w:numPr>
              <w:rPr/>
            </w:pPr>
            <w:r>
              <w:rPr/>
              <w:t>Utilizes expertise of co-workers and relevant groups</w:t>
            </w:r>
          </w:p>
          <w:p>
            <w:pPr>
              <w:pStyle w:val="Normal"/>
              <w:numPr>
                <w:ilvl w:val="0"/>
                <w:numId w:val="2"/>
              </w:numPr>
              <w:rPr/>
            </w:pPr>
            <w:r>
              <w:rPr/>
              <w:t>Motivates others through empowerment and by sharing information appropriately</w:t>
            </w:r>
          </w:p>
          <w:p>
            <w:pPr>
              <w:pStyle w:val="Normal"/>
              <w:numPr>
                <w:ilvl w:val="0"/>
                <w:numId w:val="2"/>
              </w:numPr>
              <w:rPr/>
            </w:pPr>
            <w:r>
              <w:rPr/>
              <w:t>Values the contributions of others.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Inspires excellence in others, by example and integrity</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Actively supports logistical elements of change in support of strategic direction</w:t>
            </w:r>
          </w:p>
          <w:p>
            <w:pPr>
              <w:pStyle w:val="Normal"/>
              <w:numPr>
                <w:ilvl w:val="0"/>
                <w:numId w:val="2"/>
              </w:numPr>
              <w:spacing w:before="0" w:after="80"/>
              <w:rPr/>
            </w:pPr>
            <w:r>
              <w:rPr/>
              <w:t>Actively pursues on-going development of personal talents and skills</w:t>
            </w:r>
          </w:p>
          <w:p>
            <w:pPr>
              <w:pStyle w:val="Normal"/>
              <w:numPr>
                <w:ilvl w:val="0"/>
                <w:numId w:val="2"/>
              </w:numPr>
              <w:spacing w:before="0" w:after="80"/>
              <w:rPr/>
            </w:pPr>
            <w:r>
              <w:rPr/>
              <w:t>Demonstrates respect in interacting with others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SKILLS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Actively pursues increased level of knowledge about Enron’s business</w:t>
            </w:r>
          </w:p>
          <w:p>
            <w:pPr>
              <w:pStyle w:val="Normal"/>
              <w:numPr>
                <w:ilvl w:val="0"/>
                <w:numId w:val="2"/>
              </w:numPr>
              <w:rPr/>
            </w:pPr>
            <w:r>
              <w:rPr/>
              <w:t>Makes effective use of Enron resources to expedite work results</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standards to business decisions</w:t>
            </w:r>
          </w:p>
          <w:p>
            <w:pPr>
              <w:pStyle w:val="Normal"/>
              <w:numPr>
                <w:ilvl w:val="0"/>
                <w:numId w:val="2"/>
              </w:numPr>
              <w:rPr/>
            </w:pPr>
            <w:r>
              <w:rPr/>
              <w:t xml:space="preserve">Effectively integrates technical expertise with knowledge of Enron business to achieve objectives. </w:t>
            </w:r>
          </w:p>
        </w:tc>
      </w:tr>
    </w:tbl>
    <w:p>
      <w:pPr>
        <w:pStyle w:val="Header"/>
        <w:tabs>
          <w:tab w:val="clear" w:pos="4320"/>
          <w:tab w:val="clear" w:pos="8640"/>
        </w:tabs>
        <w:rPr/>
      </w:pPr>
      <w:r>
        <w:rPr/>
      </w:r>
    </w:p>
    <w:p>
      <w:pPr>
        <w:pStyle w:val="Normal"/>
        <w:tabs>
          <w:tab w:val="clear" w:pos="720"/>
          <w:tab w:val="left" w:pos="2070" w:leader="none"/>
        </w:tabs>
        <w:spacing w:before="60" w:after="0"/>
        <w:rPr>
          <w:rFonts w:ascii="Arial" w:hAnsi="Arial" w:cs="Arial"/>
          <w:i/>
          <w:i/>
        </w:rPr>
      </w:pPr>
      <w:r>
        <w:rPr>
          <w:rFonts w:cs="Arial" w:ascii="Arial" w:hAnsi="Arial"/>
          <w:i/>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Symbol" w:hAnsi="Symbol" w:cs="Symbol"/>
      <w:sz w:val="24"/>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2000-11-22T16:02:00Z</dcterms:created>
  <dc:creator>Performance Management</dc:creator>
  <dc:description/>
  <dc:language>en-CA</dc:language>
  <cp:lastModifiedBy>Dutch Quigley</cp:lastModifiedBy>
  <cp:lastPrinted>2000-10-31T10:32:00Z</cp:lastPrinted>
  <dcterms:modified xsi:type="dcterms:W3CDTF">2001-01-17T13:11:00Z</dcterms:modified>
  <cp:revision>4</cp:revision>
  <dc:subject/>
  <dc:title> </dc:title>
</cp:coreProperties>
</file>