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rPr>
      </w:pPr>
      <w:r>
        <w:rPr>
          <w:rFonts w:cs="Times New Roman" w:ascii="Times New Roman" w:hAnsi="Times New Roman"/>
          <w:sz w:val="24"/>
          <w:szCs w:val="24"/>
        </w:rPr>
        <w:t>September 18, 2001</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Is  the Medical Community  Prepared For Terrorism?</w:t>
      </w:r>
    </w:p>
    <w:p>
      <w:pPr>
        <w:pStyle w:val="Normal"/>
        <w:rPr>
          <w:rFonts w:ascii="Times New Roman" w:hAnsi="Times New Roman" w:cs="Times New Roman"/>
          <w:sz w:val="24"/>
          <w:szCs w:val="24"/>
        </w:rPr>
      </w:pPr>
      <w:r>
        <w:rPr>
          <w:rFonts w:cs="Times New Roman" w:ascii="Times New Roman" w:hAnsi="Times New Roman"/>
          <w:sz w:val="24"/>
          <w:szCs w:val="24"/>
        </w:rPr>
        <w:t>Ward Casscells, MD</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The country’s doctors, nurses, EMTs, paramedics and other medical workers  have marveled over the courage and endurance of their colleagues in New York, and have grieved over those lost (especially fire department EMTs and paramedics) in the September 11 terrorist attacks in New York and Washington. Many have written checks, offered to fly in to help, and have attended prayer vigils.  Those outside New York and Washington may now be tempted to say “We need to do more to prevent attacks, but at least we’re not targeted by terrorists here.”  Such complacency may be fatal.  As John Donne wrote, “Send not to ask for whom the bell tolls.  It tolls for thee.” Cities thought to be at risk include Los Angeles, Chicago, San Francisco, Boston, Dallas, Miami, Denver, and Houston. Also at risk are San Diego (naval and air bases, biotechnology and software companies), Seattle (Microsoft, Boeing), Atlanta (CNN), etc.</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 xml:space="preserve">Unfortunately, as our personal experience suggests, and as documented over the past few months by the U.S. Government Accounting Office and the U.S. Commission on National  Security documents,  we are not well prepared for disasters. We tend to prepare with the last earthquake, flood, crash, or bombing in mind. In our opinion “the fire next time” is not likely to be an airplane/missile aimed at New York or Washington because of all the precautions now being taken, and because, according to the September 18 Wall Street Journal, Osama bin Laden has said it is the Islamic world’s solemn  duty to develop biological and chemical weapons . Though few in Islam  would agree, only a few are needed. </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Cyber-terrorism and chemical attacks must be anticipated, and may become common.  Much more deadly, however, will be biological attacks.  Bacteria such as anthrax can be grown inexpensively in a single room, easily hidden and then sprayed from a plane.  Fifty kg released over a city of 5 million people will kill 100,000, according to several scientific studies.  Or, as the terrorist primers on the Internet note, the germs could be released at City Hall, at a basketball game, or into a reservoir.  Terrorists are now sophisticated enough to produce and deploy bioweapons. Newspaper  reports of  heavy  short-selling of  reinsurance stocks in Europe on Sept 10 suggest  the terrorists have become not only sophisticated  but rich enough to do much more.</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One reason biological agents have not been used often is that they are insidious:  colorless and odorless, they go undetected until several days later when they cause symptoms. They produce no fireball for which terrorists may claim credit. Diagnosis requires a high index of suspicion, and very few doctors alive today have ever made a diagnosis of anthrax.  Thus, most victims will die for lack of old-fashioned penicillin. This was the conclusion of  June’s Dark Winter simulation.</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 xml:space="preserve">Only a few military personnel have received the anthrax vaccine, whose efficacy has been proven only in monkeys, decades ago. It may not protect against the genetically engineered anthrax thought to have been developed by Soviet scientists in the 1980s, in violation of the 1975 Biological Weapons Convention.  </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Even more dangerous is smallpox because it is highly contagious and untreatable. Eliminated by 1975, vaccinations ceased, and stocks were locked in 2 sites – one in the U.S., in the U.S.S.R.  Yet, there have been several (unconfirmed reports) of Soviet bioweapons scientists being lured to Iraq, Iran, Syria and Libya, raising the specter of smallpox dissemination.  After release of smallpox in an airport or a plane, each victim would become a carrier, spreading the disease to friends and colleagues wherever they land. A simulation carried out in California in 1998 by the Center for Civilian Biodefense Studies at Johns Hopkins University concluded that medical and civil responsiveness was inadequate.  They estimated that 15,000 lives would have been lost over two months and 80 million lives lost over 12 months, because vaccines could not be made and administered in time.  From their TOPOFF exercise  conducted  last year, the Department of Justice estimated that two thousand  would  have died of bubonic plague from a single  aerosol release of Yersinia pestis.  After participating in the June 2001 exercise (code-named Dark Winter)  former Sen. Sam Nunn told the Senate Foreign Relations Committee that a single release of smallpox virus in Oklahoma would kill hundreds of thousands within 12 days. Nunn concluded  “ Our lack of preparation is a real emergency”.</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The worst-case scenario is an attack that includes not just the primary targets (such as military and government buildings, telecommunications and energy industries, symbolic monuments and public places) but the first responders and hospitals. Most  major hospitals and physician leaders recognize we are not well prepared for disaster. The hospitals have been struggling financially, and recommendations such as those issued by the American Medical Association in March have been all but ignored. Only  20% have a plan for such attacks, and 12%  have gas masks.</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Many other groups have sounded warnings as well. A 1998 U.S. Senate report   concluded that a biological attack on the United States was “not a question of if, but of when.” Others who have called for increased disaster preparedness over the past three years include the United States Army and Navy, the American Medical Association, the Centers for Disease Control, the U.S. Department of Transportation, the Occupational Safety and Health Administration, the National Fire Protection Association, the U.S. Public Health Service, the American Public Health Association, the National Center for Infectious Diseases, the National Association of County and City Health Officials, the Rockefeller Foundation, the American Society for Microbiology, and many others, including  former Secretary of State James A. Baker, III.</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What can be done ? Building on  the Frist-Kennedy  Public Health Threats bill of 2000 , we need to address the root causes of terrorism, and we need diplomacy, better intelligence and security. The latter should include: video surveillance cameras with computerized detection of suspected terrorists, securing air conditioning, ventilation, heating and water supplies, decontaminating them (as  much as possible) with infrared radiation, and monitoring them on-line. Intelligence has been the  subject of   proposals too numerous to discuss here, but  we propose, in addition, that sales of bacterial reagents to individuals be banned, registered or subjected to surveillance,  and  that heavy short-selling and puts on insurance stocks be reported to the FBI.</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 xml:space="preserve">We need to coordinate the response of city, county, state and federal agencies (27 of which are involved in the federal response, led by the FBI) and drill, drill, drill. Moreover we must recognize that in a biological attack it is not only those courageous police officers, firefighters, and paramedics who will be marching into the danger others are fleeing but the nurses and doctors as well. Many will lose their lives, but these people will give them. </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They need better training: success will critically depend on each  EMT, paramedic, doctor, nurse and technician having a high index of suspicion for chemical and biological threats, and knowing exactly what to do in such a case. For example, they must first suppress their urge to run to the victim. Most should be vaccinated against anthrax, and probably smallpox as well, but only 12 million smallpox vaccines remain, and may not protect against engineered strains.  Only 3% of  first responders have had “chem-bio” training in  the past 5 years, according to a recent report  by   Washington’s Center  for Strategic and International Studies.</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 xml:space="preserve">We need more and better chemical and biological detectors, including those which can be used at a distance such as near-infrared spectroscopy. We need more decontamination and isolation facilities, improved and more redundant wireless networks that won’t be swamped with cellular calls, backup by Internet telephony, and real-time wireless videos so emergency physicians can be virtually present at the disaster scene. We need Web-based command/control,  real-time linkage of emergency vehicles to intelligent highway systems (where they exist) and to the LifeFlight helicopters; routing algorithms that minimize time to the nearest appropriate facility, and public education, and drills till we get it right. </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The tasks that confront us are a mix of applying and integrating available technologies and practices, and discovering and inventing new ones. This work will take place at  our universities, teaching hospitals, national research labs, military labs such as the Army labs at Ft. Detrick, MD, as well as participating  pharmaceutical, telecommunications, software, hardware, energy, chemical, and aerospace industries. Tax incentives may be  required unless  common sense and duty prevail.</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All of this will require leadership, sustained civic will, and funds, and prayer.  But most of all, work. As President Kennedy  said in his inaugural address  “With a good conscience our only sure reward, with history the final judge of our deeds, let us go forth to lead the land we love, asking his blessing, and his help, but knowing that here on Earth, God’s work must truly be our own.”</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Ward Casscells,MD</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The John Edward Tyson Professor of Medicine</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Vice President for Biotechnology</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The University of Texas Health ScienceCenter at Houston</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713-500-6545</w:t>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60"/>
        <w:jc w:val="both"/>
        <w:rPr>
          <w:rFonts w:ascii="Times New Roman" w:hAnsi="Times New Roman" w:cs="Times New Roman"/>
          <w:sz w:val="24"/>
          <w:szCs w:val="24"/>
        </w:rPr>
      </w:pPr>
      <w:r>
        <w:rPr>
          <w:rFonts w:cs="Times New Roman" w:ascii="Times New Roman" w:hAnsi="Times New Roman"/>
          <w:sz w:val="24"/>
          <w:szCs w:val="24"/>
        </w:rPr>
        <w:t>WC;ms</w:t>
      </w:r>
    </w:p>
    <w:p>
      <w:pPr>
        <w:pStyle w:val="Normal"/>
        <w:rPr>
          <w:rFonts w:ascii="Times New Roman" w:hAnsi="Times New Roman" w:cs="Times New Roman"/>
          <w:sz w:val="24"/>
          <w:szCs w:val="24"/>
        </w:rPr>
      </w:pPr>
      <w:r>
        <w:rPr>
          <w:rFonts w:cs="Times New Roman" w:ascii="Times New Roman" w:hAnsi="Times New Roman"/>
          <w:sz w:val="24"/>
          <w:szCs w:val="24"/>
        </w:rPr>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US" w:bidi="ar-SA" w:eastAsia="zh-CN"/>
    </w:rPr>
  </w:style>
  <w:style w:type="paragraph" w:styleId="Heading4">
    <w:name w:val="heading 4"/>
    <w:basedOn w:val="Normal"/>
    <w:next w:val="BodyText"/>
    <w:qFormat/>
    <w:pPr>
      <w:numPr>
        <w:ilvl w:val="3"/>
        <w:numId w:val="1"/>
      </w:numPr>
      <w:ind w:hanging="0" w:start="360" w:end="0"/>
      <w:outlineLvl w:val="3"/>
    </w:pPr>
    <w:rPr>
      <w:sz w:val="24"/>
      <w:u w:val="single"/>
    </w:rPr>
  </w:style>
  <w:style w:type="paragraph" w:styleId="Heading5">
    <w:name w:val="heading 5"/>
    <w:basedOn w:val="Normal"/>
    <w:next w:val="BodyTex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ind w:hanging="0" w:start="720" w:end="0"/>
      <w:outlineLvl w:val="5"/>
    </w:pPr>
    <w:rPr>
      <w:u w:val="single"/>
    </w:rPr>
  </w:style>
  <w:style w:type="paragraph" w:styleId="Heading7">
    <w:name w:val="heading 7"/>
    <w:basedOn w:val="Normal"/>
    <w:next w:val="BodyText"/>
    <w:qFormat/>
    <w:pPr>
      <w:numPr>
        <w:ilvl w:val="6"/>
        <w:numId w:val="1"/>
      </w:numPr>
      <w:ind w:hanging="0" w:start="720" w:end="0"/>
      <w:outlineLvl w:val="6"/>
    </w:pPr>
    <w:rPr>
      <w:i/>
    </w:rPr>
  </w:style>
  <w:style w:type="paragraph" w:styleId="Heading8">
    <w:name w:val="heading 8"/>
    <w:basedOn w:val="Normal"/>
    <w:next w:val="BodyText"/>
    <w:qFormat/>
    <w:pPr>
      <w:numPr>
        <w:ilvl w:val="7"/>
        <w:numId w:val="1"/>
      </w:numPr>
      <w:ind w:hanging="0" w:start="720" w:end="0"/>
      <w:outlineLvl w:val="7"/>
    </w:pPr>
    <w:rPr>
      <w:i/>
    </w:rPr>
  </w:style>
  <w:style w:type="paragraph" w:styleId="Heading9">
    <w:name w:val="heading 9"/>
    <w:basedOn w:val="Normal"/>
    <w:next w:val="BodyText"/>
    <w:qFormat/>
    <w:pPr>
      <w:numPr>
        <w:ilvl w:val="8"/>
        <w:numId w:val="1"/>
      </w:numPr>
      <w:ind w:hanging="0" w:start="720" w:end="0"/>
      <w:outlineLvl w:val="8"/>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2001-09-20T20:39:00Z</dcterms:created>
  <dc:creator>Valued Gateway Client</dc:creator>
  <dc:description/>
  <dc:language>en-CA</dc:language>
  <cp:lastModifiedBy>Valued Gateway Client</cp:lastModifiedBy>
  <dcterms:modified xsi:type="dcterms:W3CDTF">2001-09-20T20:39:00Z</dcterms:modified>
  <cp:revision>2</cp:revision>
  <dc:subject/>
  <dc:title>September 12, 2001</dc:title>
</cp:coreProperties>
</file>