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t>Utility service options for large (and medium) customers</w:t>
      </w:r>
    </w:p>
    <w:p>
      <w:pPr>
        <w:pStyle w:val="Normal"/>
        <w:rPr>
          <w:b/>
          <w:sz w:val="24"/>
        </w:rPr>
      </w:pPr>
      <w:r>
        <w:rPr>
          <w:b/>
          <w:sz w:val="24"/>
        </w:rPr>
      </w:r>
    </w:p>
    <w:p>
      <w:pPr>
        <w:pStyle w:val="Normal"/>
        <w:rPr>
          <w:b/>
          <w:sz w:val="24"/>
        </w:rPr>
      </w:pPr>
      <w:r>
        <w:rPr>
          <w:b/>
          <w:sz w:val="24"/>
        </w:rPr>
        <w:t>Section 1</w:t>
      </w:r>
    </w:p>
    <w:p>
      <w:pPr>
        <w:pStyle w:val="Normal"/>
        <w:rPr>
          <w:sz w:val="24"/>
        </w:rPr>
      </w:pPr>
      <w:r>
        <w:rPr>
          <w:sz w:val="24"/>
        </w:rPr>
        <w:t>Definitions –</w:t>
      </w:r>
    </w:p>
    <w:p>
      <w:pPr>
        <w:pStyle w:val="Normal"/>
        <w:rPr>
          <w:sz w:val="24"/>
        </w:rPr>
      </w:pPr>
      <w:r>
        <w:rPr>
          <w:sz w:val="24"/>
        </w:rPr>
      </w:r>
    </w:p>
    <w:p>
      <w:pPr>
        <w:pStyle w:val="Normal"/>
        <w:rPr>
          <w:sz w:val="24"/>
        </w:rPr>
      </w:pPr>
      <w:r>
        <w:rPr>
          <w:sz w:val="24"/>
        </w:rPr>
        <w:t>“</w:t>
      </w:r>
      <w:r>
        <w:rPr>
          <w:sz w:val="24"/>
        </w:rPr>
        <w:t>Direct Access” is ……(DOES THIS INCLUDE PURCHASE FROM CDWR CONTRACTS?)(DA)</w:t>
      </w:r>
    </w:p>
    <w:p>
      <w:pPr>
        <w:pStyle w:val="Normal"/>
        <w:rPr>
          <w:sz w:val="24"/>
        </w:rPr>
      </w:pPr>
      <w:r>
        <w:rPr>
          <w:sz w:val="24"/>
        </w:rPr>
      </w:r>
    </w:p>
    <w:p>
      <w:pPr>
        <w:pStyle w:val="Normal"/>
        <w:rPr>
          <w:sz w:val="24"/>
        </w:rPr>
      </w:pPr>
      <w:r>
        <w:rPr>
          <w:sz w:val="24"/>
        </w:rPr>
        <w:t>“</w:t>
      </w:r>
      <w:r>
        <w:rPr>
          <w:sz w:val="24"/>
        </w:rPr>
        <w:t>Large Customer” is an entity that has an annual peak demand over 500 KW measured by a single meter.</w:t>
      </w:r>
    </w:p>
    <w:p>
      <w:pPr>
        <w:pStyle w:val="Normal"/>
        <w:rPr>
          <w:sz w:val="24"/>
        </w:rPr>
      </w:pPr>
      <w:r>
        <w:rPr>
          <w:sz w:val="24"/>
        </w:rPr>
      </w:r>
    </w:p>
    <w:p>
      <w:pPr>
        <w:pStyle w:val="Normal"/>
        <w:rPr>
          <w:sz w:val="24"/>
        </w:rPr>
      </w:pPr>
      <w:r>
        <w:rPr>
          <w:sz w:val="24"/>
        </w:rPr>
        <w:t>“</w:t>
      </w:r>
      <w:r>
        <w:rPr>
          <w:sz w:val="24"/>
        </w:rPr>
        <w:t>New Large Customer” is an entity that is projected to have an annual peak demand over 500 KW measured by a single meter and either has not taken electric service from an electrical corporation in California prior to the effective date of this bill, or has been taking Direct Access service continuously since (DATE).</w:t>
      </w:r>
    </w:p>
    <w:p>
      <w:pPr>
        <w:pStyle w:val="Normal"/>
        <w:rPr>
          <w:sz w:val="24"/>
        </w:rPr>
      </w:pPr>
      <w:r>
        <w:rPr>
          <w:sz w:val="24"/>
        </w:rPr>
      </w:r>
    </w:p>
    <w:p>
      <w:pPr>
        <w:pStyle w:val="Normal"/>
        <w:rPr>
          <w:sz w:val="24"/>
        </w:rPr>
      </w:pPr>
      <w:r>
        <w:rPr>
          <w:sz w:val="24"/>
        </w:rPr>
        <w:t>“</w:t>
      </w:r>
      <w:r>
        <w:rPr>
          <w:sz w:val="24"/>
        </w:rPr>
        <w:t>Medium Customer” is an entity that has an annual peak demand between 20kw and 500kw measured by a single meter.</w:t>
      </w:r>
    </w:p>
    <w:p>
      <w:pPr>
        <w:pStyle w:val="Normal"/>
        <w:rPr>
          <w:sz w:val="24"/>
        </w:rPr>
      </w:pPr>
      <w:r>
        <w:rPr>
          <w:sz w:val="24"/>
        </w:rPr>
      </w:r>
    </w:p>
    <w:p>
      <w:pPr>
        <w:pStyle w:val="Normal"/>
        <w:rPr>
          <w:sz w:val="24"/>
        </w:rPr>
      </w:pPr>
      <w:r>
        <w:rPr>
          <w:sz w:val="24"/>
        </w:rPr>
        <w:t>“</w:t>
      </w:r>
      <w:r>
        <w:rPr>
          <w:sz w:val="24"/>
        </w:rPr>
        <w:t>Small Customer” is an entity that has an annual peak demand below 20kw measured by a single meter. (NOT USED IN THIS SECTION)</w:t>
      </w:r>
    </w:p>
    <w:p>
      <w:pPr>
        <w:pStyle w:val="Normal"/>
        <w:rPr>
          <w:sz w:val="24"/>
        </w:rPr>
      </w:pPr>
      <w:r>
        <w:rPr>
          <w:sz w:val="24"/>
        </w:rPr>
      </w:r>
    </w:p>
    <w:p>
      <w:pPr>
        <w:pStyle w:val="Normal"/>
        <w:rPr>
          <w:sz w:val="24"/>
        </w:rPr>
      </w:pPr>
      <w:r>
        <w:rPr>
          <w:sz w:val="24"/>
        </w:rPr>
        <w:t>“</w:t>
      </w:r>
      <w:r>
        <w:rPr>
          <w:sz w:val="24"/>
        </w:rPr>
        <w:t>Core Service” is service from the electrical corporation Core Portfolio. Core Service prices shall include all Core Portfolio costs, and for each customer class shall be an average price based on an equal cents per kWh allocation of all Core Portfolio costs, adjusted for customer class load profiles and time variation of costs. Within each customer class, rates for Core Service shall provide time-based price signals through advanced metering or consumption-based tiered rate design.</w:t>
      </w:r>
    </w:p>
    <w:p>
      <w:pPr>
        <w:pStyle w:val="Normal"/>
        <w:rPr>
          <w:sz w:val="24"/>
        </w:rPr>
      </w:pPr>
      <w:r>
        <w:rPr>
          <w:sz w:val="24"/>
        </w:rPr>
      </w:r>
    </w:p>
    <w:p>
      <w:pPr>
        <w:pStyle w:val="Normal"/>
        <w:rPr>
          <w:sz w:val="24"/>
        </w:rPr>
      </w:pPr>
      <w:r>
        <w:rPr>
          <w:sz w:val="24"/>
        </w:rPr>
        <w:t>“</w:t>
      </w:r>
      <w:r>
        <w:rPr>
          <w:sz w:val="24"/>
        </w:rPr>
        <w:t>Core Portfolio” electric energy from the combined electrical corporation-owned generation (including capital additions), qualifying facility agreements, (Mission Sunrise  contract  for SCE) and other power purchase contracts and purchases to serve customers not electing other service options or Direct Access. (NEED TO INCLUDE MORE ON CPUC REGULATION OF CORE PORTFOLIO?)</w:t>
      </w:r>
    </w:p>
    <w:p>
      <w:pPr>
        <w:pStyle w:val="Normal"/>
        <w:rPr>
          <w:sz w:val="24"/>
        </w:rPr>
      </w:pPr>
      <w:r>
        <w:rPr>
          <w:sz w:val="24"/>
        </w:rPr>
      </w:r>
    </w:p>
    <w:p>
      <w:pPr>
        <w:pStyle w:val="Normal"/>
        <w:rPr>
          <w:sz w:val="24"/>
        </w:rPr>
      </w:pPr>
      <w:r>
        <w:rPr>
          <w:sz w:val="24"/>
        </w:rPr>
        <w:t>‘</w:t>
      </w:r>
      <w:r>
        <w:rPr>
          <w:sz w:val="24"/>
        </w:rPr>
        <w:t xml:space="preserve">Term Service” service from the electrical corporation under terms as agreed between the electrical corporation and the Large Customer (SUBJECT TO APPROVAL BY THE CPUC?). Term Service shall include at least one, two and three year options. </w:t>
      </w:r>
    </w:p>
    <w:p>
      <w:pPr>
        <w:pStyle w:val="Normal"/>
        <w:rPr>
          <w:sz w:val="24"/>
        </w:rPr>
      </w:pPr>
      <w:r>
        <w:rPr>
          <w:sz w:val="24"/>
        </w:rPr>
      </w:r>
    </w:p>
    <w:p>
      <w:pPr>
        <w:pStyle w:val="Normal"/>
        <w:rPr>
          <w:sz w:val="24"/>
        </w:rPr>
      </w:pPr>
      <w:r>
        <w:rPr>
          <w:sz w:val="24"/>
        </w:rPr>
        <w:t>“</w:t>
      </w:r>
      <w:r>
        <w:rPr>
          <w:sz w:val="24"/>
        </w:rPr>
        <w:t xml:space="preserve">NonCore Default Service” service from the electrical corporation on a day to day basis based on prevailing wholesale market prices incurred by the electrical corporation. </w:t>
      </w:r>
    </w:p>
    <w:p>
      <w:pPr>
        <w:pStyle w:val="Normal"/>
        <w:rPr>
          <w:sz w:val="24"/>
        </w:rPr>
      </w:pPr>
      <w:r>
        <w:rPr>
          <w:sz w:val="24"/>
        </w:rPr>
      </w:r>
    </w:p>
    <w:p>
      <w:pPr>
        <w:pStyle w:val="Normal"/>
        <w:rPr>
          <w:sz w:val="24"/>
        </w:rPr>
      </w:pPr>
      <w:r>
        <w:rPr>
          <w:sz w:val="24"/>
        </w:rPr>
        <w:t>“</w:t>
      </w:r>
      <w:r>
        <w:rPr>
          <w:sz w:val="24"/>
        </w:rPr>
        <w:t>Transition Date” shall be January 1, 2003 or 120 days after a finding by the CPUC that there is a viable retail market in California and a report by the Western States Coordinating Council that there is a 15% summer reserve margin, whichever is later.</w:t>
      </w:r>
    </w:p>
    <w:p>
      <w:pPr>
        <w:pStyle w:val="Normal"/>
        <w:rPr>
          <w:sz w:val="24"/>
        </w:rPr>
      </w:pPr>
      <w:r>
        <w:rPr>
          <w:sz w:val="24"/>
        </w:rPr>
      </w:r>
    </w:p>
    <w:p>
      <w:pPr>
        <w:pStyle w:val="Normal"/>
        <w:rPr>
          <w:b/>
          <w:i/>
          <w:i/>
          <w:sz w:val="24"/>
        </w:rPr>
      </w:pPr>
      <w:r>
        <w:rPr>
          <w:b/>
          <w:i/>
          <w:sz w:val="24"/>
        </w:rPr>
      </w:r>
    </w:p>
    <w:p>
      <w:pPr>
        <w:pStyle w:val="Normal"/>
        <w:rPr>
          <w:b/>
          <w:i/>
          <w:i/>
          <w:sz w:val="24"/>
        </w:rPr>
      </w:pPr>
      <w:r>
        <w:rPr>
          <w:b/>
          <w:i/>
          <w:sz w:val="24"/>
        </w:rPr>
        <w:t>Section 1 Direct Access Rules Prior to Transition Date</w:t>
      </w:r>
    </w:p>
    <w:p>
      <w:pPr>
        <w:pStyle w:val="Normal"/>
        <w:rPr>
          <w:sz w:val="24"/>
        </w:rPr>
      </w:pPr>
      <w:r>
        <w:rPr>
          <w:sz w:val="24"/>
        </w:rPr>
        <w:t>(1) (REFER TO DA SECTION))</w:t>
      </w:r>
    </w:p>
    <w:p>
      <w:pPr>
        <w:pStyle w:val="Normal"/>
        <w:rPr>
          <w:sz w:val="24"/>
        </w:rPr>
      </w:pPr>
      <w:r>
        <w:rPr>
          <w:sz w:val="24"/>
        </w:rPr>
      </w:r>
    </w:p>
    <w:p>
      <w:pPr>
        <w:pStyle w:val="Normal"/>
        <w:rPr>
          <w:sz w:val="24"/>
        </w:rPr>
      </w:pPr>
      <w:r>
        <w:rPr>
          <w:sz w:val="24"/>
        </w:rPr>
      </w:r>
    </w:p>
    <w:p>
      <w:pPr>
        <w:pStyle w:val="Heading1"/>
        <w:ind w:hanging="0" w:start="0"/>
        <w:rPr/>
      </w:pPr>
      <w:r>
        <w:rPr/>
        <w:t xml:space="preserve">Section 2 </w:t>
      </w:r>
      <w:r>
        <w:rPr>
          <w:i/>
        </w:rPr>
        <w:t>(Transition Rules and Service Options)</w:t>
      </w:r>
    </w:p>
    <w:p>
      <w:pPr>
        <w:pStyle w:val="Normal"/>
        <w:rPr>
          <w:i/>
          <w:i/>
          <w:sz w:val="24"/>
        </w:rPr>
      </w:pPr>
      <w:r>
        <w:rPr>
          <w:i/>
          <w:sz w:val="24"/>
        </w:rPr>
      </w:r>
    </w:p>
    <w:p>
      <w:pPr>
        <w:pStyle w:val="Normal"/>
        <w:rPr>
          <w:sz w:val="24"/>
        </w:rPr>
      </w:pPr>
      <w:r>
        <w:rPr>
          <w:sz w:val="24"/>
        </w:rPr>
        <w:t xml:space="preserve">(1) On or before July 1, 2003, the CPUC shall approve electrical corporation tariffs describing Core Service, Term Service and NonCore Default Service to be available to customers beginning at the Transition Date.   </w:t>
      </w:r>
    </w:p>
    <w:p>
      <w:pPr>
        <w:pStyle w:val="Normal"/>
        <w:rPr>
          <w:sz w:val="24"/>
        </w:rPr>
      </w:pPr>
      <w:r>
        <w:rPr>
          <w:sz w:val="24"/>
        </w:rPr>
      </w:r>
    </w:p>
    <w:p>
      <w:pPr>
        <w:pStyle w:val="BodyText"/>
        <w:rPr/>
      </w:pPr>
      <w:r>
        <w:rPr/>
        <w:t>(2) 90 days prior to the Transition Date, Large Customers shall elect a service option for service beginning at the Transition Date. Where there is no election and the Large customer is not being served by Direct Access, the Large Customer shall be deemed to have elected NonCore Default Service. Large Customers shall have the right to thereafter to elect a new service option or Direct Access under the following conditions:</w:t>
      </w:r>
    </w:p>
    <w:p>
      <w:pPr>
        <w:pStyle w:val="Normal"/>
        <w:rPr>
          <w:sz w:val="24"/>
        </w:rPr>
      </w:pPr>
      <w:r>
        <w:rPr>
          <w:sz w:val="24"/>
        </w:rPr>
      </w:r>
    </w:p>
    <w:p>
      <w:pPr>
        <w:pStyle w:val="Normal"/>
        <w:ind w:firstLine="720" w:end="0"/>
        <w:rPr>
          <w:sz w:val="24"/>
        </w:rPr>
      </w:pPr>
      <w:r>
        <w:rPr>
          <w:sz w:val="24"/>
        </w:rPr>
        <w:t xml:space="preserve">(a) A Large Customer electing to move to Core Service from another service option or Direct Access shall provide 12 months irrevocable advance notice to the electrical corporation. During the 12 months prior to the beginning of Core Service, the Large Customer may elect Term Service, Direct Access, or NonCore Default Service. </w:t>
      </w:r>
    </w:p>
    <w:p>
      <w:pPr>
        <w:pStyle w:val="Normal"/>
        <w:ind w:firstLine="720" w:end="0"/>
        <w:rPr>
          <w:sz w:val="24"/>
        </w:rPr>
      </w:pPr>
      <w:r>
        <w:rPr>
          <w:sz w:val="24"/>
        </w:rPr>
      </w:r>
    </w:p>
    <w:p>
      <w:pPr>
        <w:pStyle w:val="Normal"/>
        <w:ind w:firstLine="720" w:end="0"/>
        <w:rPr>
          <w:sz w:val="24"/>
        </w:rPr>
      </w:pPr>
      <w:r>
        <w:rPr>
          <w:sz w:val="24"/>
        </w:rPr>
        <w:t xml:space="preserve">(b) A Large Customer may not elect to move from Core Service to another service option or Direct Access prior to the expiration five years from the beginning of Core Service.  </w:t>
      </w:r>
    </w:p>
    <w:p>
      <w:pPr>
        <w:pStyle w:val="BodyTextIndent"/>
        <w:rPr/>
      </w:pPr>
      <w:r>
        <w:rPr/>
        <w:t xml:space="preserve">(c) A Large Customer shall give notice 12 months prior to the end of the five year Core Service term of an intention to continue Core Service for an additional five year term or move from Core Service to Direct Access or other service option. </w:t>
      </w:r>
    </w:p>
    <w:p>
      <w:pPr>
        <w:pStyle w:val="Normal"/>
        <w:rPr>
          <w:sz w:val="24"/>
        </w:rPr>
      </w:pPr>
      <w:r>
        <w:rPr>
          <w:sz w:val="24"/>
        </w:rPr>
      </w:r>
    </w:p>
    <w:p>
      <w:pPr>
        <w:pStyle w:val="Normal"/>
        <w:rPr>
          <w:sz w:val="24"/>
        </w:rPr>
      </w:pPr>
      <w:r>
        <w:rPr>
          <w:sz w:val="24"/>
        </w:rPr>
        <w:t>(3) 90 days prior to the Transition Date, Medium Customers shall elect a service option for service beginning at the Transition Date. Where there is no election and the Medium Customer is not being served by Direct Access, the Medium Customer shall be deemed to have elected Core Service. Medium Customers shall have the right to thereafter elect a new service option or Direct Access under the following conditions:</w:t>
      </w:r>
    </w:p>
    <w:p>
      <w:pPr>
        <w:pStyle w:val="Normal"/>
        <w:rPr>
          <w:sz w:val="24"/>
        </w:rPr>
      </w:pPr>
      <w:r>
        <w:rPr>
          <w:sz w:val="24"/>
        </w:rPr>
      </w:r>
    </w:p>
    <w:p>
      <w:pPr>
        <w:pStyle w:val="Normal"/>
        <w:ind w:firstLine="720" w:end="0"/>
        <w:rPr>
          <w:sz w:val="24"/>
        </w:rPr>
      </w:pPr>
      <w:r>
        <w:rPr>
          <w:sz w:val="24"/>
        </w:rPr>
        <w:t>(a) A Medium Customer electing to move from another service option or Direct Access to Core Service shall provide120 days advance notice to the electrical corporation. During the 120 day period prior to the beginning of Core Service, the Medium Customer may elect Term Service (if available), Direct Access, or NonCore Default Service.</w:t>
      </w:r>
    </w:p>
    <w:p>
      <w:pPr>
        <w:pStyle w:val="Normal"/>
        <w:rPr>
          <w:sz w:val="24"/>
        </w:rPr>
      </w:pPr>
      <w:r>
        <w:rPr>
          <w:sz w:val="24"/>
        </w:rPr>
      </w:r>
    </w:p>
    <w:p>
      <w:pPr>
        <w:pStyle w:val="Normal"/>
        <w:ind w:firstLine="720" w:end="0"/>
        <w:rPr>
          <w:sz w:val="24"/>
        </w:rPr>
      </w:pPr>
      <w:r>
        <w:rPr>
          <w:sz w:val="24"/>
        </w:rPr>
        <w:t>(b) Medium Customers shall have the right to move from Core Service to a new service option or Direct Access under the same conditions applicable to Large Customers ((b) and (c) above). (SHOULD THE 120 DAY NOTICE REQUIREMENT APPLY HERE AS WELL? THE ROADMAP DOCUMENT SUGGESTS THAT THIS DECISION SHOULD BE FINAL)</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2001-07-06T22:07:00Z</dcterms:created>
  <dc:creator>California Manufacturers and Technology Association</dc:creator>
  <dc:description/>
  <dc:language>en-CA</dc:language>
  <cp:lastModifiedBy>Anne Rothrock</cp:lastModifiedBy>
  <dcterms:modified xsi:type="dcterms:W3CDTF">2001-07-08T16:40:00Z</dcterms:modified>
  <cp:revision>28</cp:revision>
  <dc:subject/>
  <dc:title>Section 1</dc:title>
</cp:coreProperties>
</file>