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September 28, 2000</w:t>
      </w:r>
    </w:p>
    <w:p>
      <w:pPr>
        <w:pStyle w:val="Normal"/>
        <w:jc w:val="center"/>
        <w:rPr/>
      </w:pPr>
      <w:r>
        <w:rPr/>
      </w:r>
    </w:p>
    <w:p>
      <w:pPr>
        <w:pStyle w:val="Normal"/>
        <w:jc w:val="center"/>
        <w:rPr/>
      </w:pPr>
      <w:r>
        <w:rPr/>
      </w:r>
    </w:p>
    <w:p>
      <w:pPr>
        <w:pStyle w:val="Normal"/>
        <w:rPr/>
      </w:pPr>
      <w:r>
        <w:rPr/>
        <w:t>Mr. Eric J.R. Nichols</w:t>
      </w:r>
    </w:p>
    <w:p>
      <w:pPr>
        <w:pStyle w:val="Normal"/>
        <w:rPr>
          <w:smallCaps/>
        </w:rPr>
      </w:pPr>
      <w:r>
        <w:rPr>
          <w:smallCaps/>
        </w:rPr>
        <w:t>Beck, Redden &amp; Secrest, L.L.P.</w:t>
      </w:r>
    </w:p>
    <w:p>
      <w:pPr>
        <w:pStyle w:val="Normal"/>
        <w:rPr/>
      </w:pPr>
      <w:r>
        <w:rPr/>
        <w:t>One Houston Center</w:t>
      </w:r>
    </w:p>
    <w:p>
      <w:pPr>
        <w:pStyle w:val="Normal"/>
        <w:rPr/>
      </w:pPr>
      <w:r>
        <w:rPr/>
        <w:t>1221 McKinney Street</w:t>
      </w:r>
    </w:p>
    <w:p>
      <w:pPr>
        <w:pStyle w:val="Normal"/>
        <w:rPr/>
      </w:pPr>
      <w:r>
        <w:rPr/>
        <w:t>Suite 4500</w:t>
      </w:r>
    </w:p>
    <w:p>
      <w:pPr>
        <w:pStyle w:val="Normal"/>
        <w:rPr/>
      </w:pPr>
      <w:r>
        <w:rPr/>
        <w:t>Houston, TX  77010-2010</w:t>
      </w:r>
    </w:p>
    <w:p>
      <w:pPr>
        <w:pStyle w:val="Normal"/>
        <w:tabs>
          <w:tab w:val="left" w:pos="720" w:leader="none"/>
        </w:tabs>
        <w:rPr/>
      </w:pPr>
      <w:r>
        <w:rPr/>
      </w:r>
    </w:p>
    <w:p>
      <w:pPr>
        <w:pStyle w:val="Normal"/>
        <w:tabs>
          <w:tab w:val="clear" w:pos="720"/>
          <w:tab w:val="left" w:pos="0" w:leader="none"/>
          <w:tab w:val="left" w:pos="1440" w:leader="none"/>
        </w:tabs>
        <w:ind w:firstLine="720" w:start="144" w:end="0"/>
        <w:jc w:val="both"/>
        <w:rPr/>
      </w:pPr>
      <w:r>
        <w:rPr/>
        <w:t>Re:</w:t>
        <w:tab/>
        <w:t xml:space="preserve">Cause No. 2000-45242; </w:t>
      </w:r>
      <w:r>
        <w:rPr>
          <w:i/>
          <w:iCs/>
        </w:rPr>
        <w:t xml:space="preserve">Exxon Mobil Corporation v. Enron Gas </w:t>
        <w:tab/>
        <w:t xml:space="preserve">Processing Co., Enron Helium Company, Enron Liquids Service Corp., </w:t>
        <w:tab/>
        <w:t xml:space="preserve">Enron Liquids Pipeline Co., Enron Liquids Holding Corp., Enron North </w:t>
        <w:tab/>
        <w:t xml:space="preserve">America Corp., Enron Liquids Operating Limited Partnership, Enron </w:t>
        <w:tab/>
        <w:t>Operating Company, and Kinder Morgan Operating L.P. “A”</w:t>
      </w:r>
      <w:r>
        <w:rPr/>
        <w:t xml:space="preserve">; in the </w:t>
        <w:tab/>
        <w:t>152</w:t>
      </w:r>
      <w:r>
        <w:rPr>
          <w:vertAlign w:val="superscript"/>
        </w:rPr>
        <w:t>nd</w:t>
      </w:r>
      <w:r>
        <w:rPr/>
        <w:t xml:space="preserve"> Judicial District Court of Harris County, Texas</w:t>
      </w:r>
    </w:p>
    <w:p>
      <w:pPr>
        <w:pStyle w:val="Normal"/>
        <w:ind w:firstLine="720" w:end="0"/>
        <w:jc w:val="both"/>
        <w:rPr/>
      </w:pPr>
      <w:r>
        <w:rPr/>
      </w:r>
    </w:p>
    <w:p>
      <w:pPr>
        <w:pStyle w:val="Normal"/>
        <w:jc w:val="both"/>
        <w:rPr/>
      </w:pPr>
      <w:r>
        <w:rPr/>
        <w:t>Dear Mr. Nichols:</w:t>
      </w:r>
    </w:p>
    <w:p>
      <w:pPr>
        <w:pStyle w:val="Normal"/>
        <w:jc w:val="both"/>
        <w:rPr/>
      </w:pPr>
      <w:r>
        <w:rPr/>
      </w:r>
    </w:p>
    <w:p>
      <w:pPr>
        <w:pStyle w:val="BodyText"/>
        <w:rPr/>
      </w:pPr>
      <w:r>
        <w:rPr/>
        <w:tab/>
        <w:t>This letter follows up on our letters of July 12 and July 24 to your client, Exxon Mobil, and our conversations with you and Exxon Mobil about Defendants named by you in the petition you have filed in the above-referenced matter and identified as “Enron” entities.  In this letter, we again explain that all but one of the entities named by you as an “Enron” defendant either (a) were sold to corporately-unrelated third parties years ago and renamed, or (b) are not proper parties in this case.  We hope that this letter, in conjunction with the meeting we have scheduled with you in our offices on Friday, will allow our respective clients to avoid the needless time and expense of attempted service on misnamed companies and of litigating baseless claims.</w:t>
      </w:r>
    </w:p>
    <w:p>
      <w:pPr>
        <w:pStyle w:val="Normal"/>
        <w:jc w:val="both"/>
        <w:rPr/>
      </w:pPr>
      <w:r>
        <w:rPr/>
      </w:r>
    </w:p>
    <w:p>
      <w:pPr>
        <w:pStyle w:val="Normal"/>
        <w:jc w:val="both"/>
        <w:rPr/>
      </w:pPr>
      <w:r>
        <w:rPr/>
        <w:tab/>
        <w:t>The following three former Enron entities named by you were sold to unrelated third parties years ago and renamed:</w:t>
      </w:r>
    </w:p>
    <w:p>
      <w:pPr>
        <w:pStyle w:val="Normal"/>
        <w:jc w:val="both"/>
        <w:rPr/>
      </w:pPr>
      <w:r>
        <w:rPr/>
      </w:r>
    </w:p>
    <w:tbl>
      <w:tblPr>
        <w:tblW w:w="9180" w:type="dxa"/>
        <w:jc w:val="start"/>
        <w:tblInd w:w="-72" w:type="dxa"/>
        <w:tblLayout w:type="fixed"/>
        <w:tblCellMar>
          <w:top w:w="0" w:type="dxa"/>
          <w:start w:w="108" w:type="dxa"/>
          <w:bottom w:w="0" w:type="dxa"/>
          <w:end w:w="108" w:type="dxa"/>
        </w:tblCellMar>
      </w:tblPr>
      <w:tblGrid>
        <w:gridCol w:w="4500"/>
        <w:gridCol w:w="900"/>
        <w:gridCol w:w="1620"/>
        <w:gridCol w:w="2160"/>
      </w:tblGrid>
      <w:tr>
        <w:trPr/>
        <w:tc>
          <w:tcPr>
            <w:tcW w:w="4500" w:type="dxa"/>
            <w:tcBorders>
              <w:top w:val="double" w:sz="6" w:space="0" w:color="000000"/>
              <w:start w:val="double" w:sz="6" w:space="0" w:color="000000"/>
              <w:bottom w:val="single" w:sz="6" w:space="0" w:color="000000"/>
              <w:end w:val="single" w:sz="6" w:space="0" w:color="000000"/>
            </w:tcBorders>
            <w:shd w:fill="E6E6E6" w:val="clear"/>
          </w:tcPr>
          <w:p>
            <w:pPr>
              <w:pStyle w:val="Normal"/>
              <w:snapToGrid w:val="false"/>
              <w:jc w:val="center"/>
              <w:rPr>
                <w:b/>
                <w:bCs/>
                <w:smallCaps/>
                <w:sz w:val="22"/>
              </w:rPr>
            </w:pPr>
            <w:r>
              <w:rPr>
                <w:b/>
                <w:bCs/>
                <w:smallCaps/>
                <w:sz w:val="22"/>
              </w:rPr>
            </w:r>
          </w:p>
          <w:p>
            <w:pPr>
              <w:pStyle w:val="Normal"/>
              <w:jc w:val="center"/>
              <w:rPr>
                <w:b/>
                <w:bCs/>
                <w:smallCaps/>
                <w:sz w:val="22"/>
              </w:rPr>
            </w:pPr>
            <w:r>
              <w:rPr>
                <w:b/>
                <w:bCs/>
                <w:smallCaps/>
                <w:sz w:val="22"/>
              </w:rPr>
              <w:t>As Named in petition</w:t>
            </w:r>
          </w:p>
        </w:tc>
        <w:tc>
          <w:tcPr>
            <w:tcW w:w="900" w:type="dxa"/>
            <w:tcBorders>
              <w:top w:val="double" w:sz="6" w:space="0" w:color="000000"/>
              <w:start w:val="single" w:sz="6" w:space="0" w:color="000000"/>
              <w:bottom w:val="single" w:sz="6" w:space="0" w:color="000000"/>
              <w:end w:val="single" w:sz="6" w:space="0" w:color="000000"/>
            </w:tcBorders>
            <w:shd w:fill="E6E6E6" w:val="clear"/>
          </w:tcPr>
          <w:p>
            <w:pPr>
              <w:pStyle w:val="Normal"/>
              <w:jc w:val="center"/>
              <w:rPr>
                <w:b/>
                <w:bCs/>
                <w:smallCaps/>
                <w:sz w:val="22"/>
              </w:rPr>
            </w:pPr>
            <w:r>
              <w:rPr>
                <w:b/>
                <w:bCs/>
                <w:smallCaps/>
                <w:sz w:val="22"/>
              </w:rPr>
              <w:t>when sold</w:t>
            </w:r>
          </w:p>
        </w:tc>
        <w:tc>
          <w:tcPr>
            <w:tcW w:w="1620" w:type="dxa"/>
            <w:tcBorders>
              <w:top w:val="double" w:sz="6" w:space="0" w:color="000000"/>
              <w:start w:val="single" w:sz="6" w:space="0" w:color="000000"/>
              <w:bottom w:val="single" w:sz="6" w:space="0" w:color="000000"/>
              <w:end w:val="single" w:sz="6" w:space="0" w:color="000000"/>
            </w:tcBorders>
            <w:shd w:fill="E6E6E6" w:val="clear"/>
          </w:tcPr>
          <w:p>
            <w:pPr>
              <w:pStyle w:val="Normal"/>
              <w:jc w:val="center"/>
              <w:rPr>
                <w:b/>
                <w:bCs/>
                <w:smallCaps/>
                <w:sz w:val="22"/>
              </w:rPr>
            </w:pPr>
            <w:r>
              <w:rPr>
                <w:b/>
                <w:bCs/>
                <w:smallCaps/>
                <w:sz w:val="22"/>
              </w:rPr>
              <w:t>To whom sold</w:t>
            </w:r>
          </w:p>
        </w:tc>
        <w:tc>
          <w:tcPr>
            <w:tcW w:w="2160" w:type="dxa"/>
            <w:tcBorders>
              <w:top w:val="double" w:sz="6" w:space="0" w:color="000000"/>
              <w:start w:val="single" w:sz="6" w:space="0" w:color="000000"/>
              <w:bottom w:val="single" w:sz="6" w:space="0" w:color="000000"/>
              <w:end w:val="double" w:sz="6" w:space="0" w:color="000000"/>
            </w:tcBorders>
            <w:shd w:fill="E6E6E6" w:val="clear"/>
          </w:tcPr>
          <w:p>
            <w:pPr>
              <w:pStyle w:val="Normal"/>
              <w:jc w:val="center"/>
              <w:rPr>
                <w:b/>
                <w:bCs/>
                <w:smallCaps/>
                <w:sz w:val="22"/>
              </w:rPr>
            </w:pPr>
            <w:r>
              <w:rPr>
                <w:b/>
                <w:bCs/>
                <w:smallCaps/>
                <w:sz w:val="22"/>
              </w:rPr>
              <w:t>Believed</w:t>
            </w:r>
          </w:p>
          <w:p>
            <w:pPr>
              <w:pStyle w:val="Normal"/>
              <w:jc w:val="center"/>
              <w:rPr>
                <w:b/>
                <w:bCs/>
                <w:smallCaps/>
                <w:sz w:val="22"/>
              </w:rPr>
            </w:pPr>
            <w:r>
              <w:rPr>
                <w:b/>
                <w:bCs/>
                <w:smallCaps/>
                <w:sz w:val="22"/>
              </w:rPr>
              <w:t>renamed</w:t>
            </w:r>
          </w:p>
        </w:tc>
      </w:tr>
      <w:tr>
        <w:trPr/>
        <w:tc>
          <w:tcPr>
            <w:tcW w:w="4500" w:type="dxa"/>
            <w:tcBorders>
              <w:top w:val="single" w:sz="6" w:space="0" w:color="000000"/>
              <w:start w:val="double" w:sz="6" w:space="0" w:color="000000"/>
              <w:bottom w:val="single" w:sz="6" w:space="0" w:color="000000"/>
              <w:end w:val="single" w:sz="6" w:space="0" w:color="000000"/>
            </w:tcBorders>
          </w:tcPr>
          <w:p>
            <w:pPr>
              <w:pStyle w:val="Normal"/>
              <w:jc w:val="both"/>
              <w:rPr>
                <w:sz w:val="22"/>
              </w:rPr>
            </w:pPr>
            <w:r>
              <w:rPr>
                <w:sz w:val="22"/>
              </w:rPr>
              <w:t>1. Enron Gas Processing Co. “EGP”</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3/31/97</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KN Gathering, Inc. and KN Processing, Inc.</w:t>
            </w:r>
          </w:p>
        </w:tc>
        <w:tc>
          <w:tcPr>
            <w:tcW w:w="2160" w:type="dxa"/>
            <w:tcBorders>
              <w:top w:val="single" w:sz="6" w:space="0" w:color="000000"/>
              <w:start w:val="single" w:sz="6" w:space="0" w:color="000000"/>
              <w:bottom w:val="single" w:sz="6" w:space="0" w:color="000000"/>
              <w:end w:val="double" w:sz="6" w:space="0" w:color="000000"/>
            </w:tcBorders>
          </w:tcPr>
          <w:p>
            <w:pPr>
              <w:pStyle w:val="Normal"/>
              <w:jc w:val="both"/>
              <w:rPr>
                <w:sz w:val="22"/>
              </w:rPr>
            </w:pPr>
            <w:r>
              <w:rPr>
                <w:sz w:val="22"/>
              </w:rPr>
              <w:t>KN Gas Processing, Inc.</w:t>
            </w:r>
          </w:p>
        </w:tc>
      </w:tr>
      <w:tr>
        <w:trPr/>
        <w:tc>
          <w:tcPr>
            <w:tcW w:w="4500" w:type="dxa"/>
            <w:tcBorders>
              <w:top w:val="single" w:sz="6" w:space="0" w:color="000000"/>
              <w:start w:val="double" w:sz="6" w:space="0" w:color="000000"/>
              <w:bottom w:val="single" w:sz="6" w:space="0" w:color="000000"/>
              <w:end w:val="single" w:sz="6" w:space="0" w:color="000000"/>
            </w:tcBorders>
          </w:tcPr>
          <w:p>
            <w:pPr>
              <w:pStyle w:val="Normal"/>
              <w:jc w:val="both"/>
              <w:rPr>
                <w:sz w:val="22"/>
              </w:rPr>
            </w:pPr>
            <w:r>
              <w:rPr>
                <w:sz w:val="22"/>
              </w:rPr>
              <w:t>2. Enron Liquids Pipeline Co. (“ELPC”)</w:t>
            </w:r>
          </w:p>
          <w:p>
            <w:pPr>
              <w:pStyle w:val="Normal"/>
              <w:jc w:val="both"/>
              <w:rPr>
                <w:sz w:val="22"/>
              </w:rPr>
            </w:pPr>
            <w:r>
              <w:rPr>
                <w:sz w:val="22"/>
              </w:rPr>
              <w:t>[general partner of Enron Liquids Pipeline Operating Limited Partnership (“ELPOLP”)]</w:t>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2/14/97</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p>
            <w:pPr>
              <w:pStyle w:val="Normal"/>
              <w:jc w:val="both"/>
              <w:rPr>
                <w:sz w:val="22"/>
              </w:rPr>
            </w:pPr>
            <w:r>
              <w:rPr>
                <w:sz w:val="22"/>
              </w:rPr>
              <w:t>Kinder Morgan, Inc.</w:t>
            </w:r>
          </w:p>
          <w:p>
            <w:pPr>
              <w:pStyle w:val="Normal"/>
              <w:jc w:val="both"/>
              <w:rPr>
                <w:sz w:val="22"/>
              </w:rPr>
            </w:pPr>
            <w:r>
              <w:rPr>
                <w:sz w:val="22"/>
              </w:rPr>
            </w:r>
          </w:p>
        </w:tc>
        <w:tc>
          <w:tcPr>
            <w:tcW w:w="2160" w:type="dxa"/>
            <w:tcBorders>
              <w:top w:val="single" w:sz="6" w:space="0" w:color="000000"/>
              <w:start w:val="single" w:sz="6" w:space="0" w:color="000000"/>
              <w:bottom w:val="single" w:sz="6" w:space="0" w:color="000000"/>
              <w:end w:val="double" w:sz="6" w:space="0" w:color="000000"/>
            </w:tcBorders>
          </w:tcPr>
          <w:p>
            <w:pPr>
              <w:pStyle w:val="Normal"/>
              <w:snapToGrid w:val="false"/>
              <w:jc w:val="both"/>
              <w:rPr>
                <w:sz w:val="22"/>
              </w:rPr>
            </w:pPr>
            <w:r>
              <w:rPr>
                <w:sz w:val="22"/>
              </w:rPr>
            </w:r>
          </w:p>
          <w:p>
            <w:pPr>
              <w:pStyle w:val="Normal"/>
              <w:jc w:val="both"/>
              <w:rPr>
                <w:sz w:val="22"/>
              </w:rPr>
            </w:pPr>
            <w:r>
              <w:rPr>
                <w:sz w:val="22"/>
              </w:rPr>
              <w:t>Kinder Morgan, G.P., Inc.</w:t>
            </w:r>
          </w:p>
        </w:tc>
      </w:tr>
      <w:tr>
        <w:trPr/>
        <w:tc>
          <w:tcPr>
            <w:tcW w:w="4500" w:type="dxa"/>
            <w:tcBorders>
              <w:top w:val="single" w:sz="6" w:space="0" w:color="000000"/>
              <w:start w:val="double" w:sz="6" w:space="0" w:color="000000"/>
              <w:bottom w:val="double" w:sz="6" w:space="0" w:color="000000"/>
              <w:end w:val="single" w:sz="6" w:space="0" w:color="000000"/>
            </w:tcBorders>
          </w:tcPr>
          <w:p>
            <w:pPr>
              <w:pStyle w:val="Normal"/>
              <w:jc w:val="both"/>
              <w:rPr>
                <w:sz w:val="22"/>
              </w:rPr>
            </w:pPr>
            <w:r>
              <w:rPr>
                <w:sz w:val="22"/>
              </w:rPr>
              <w:t>3. Enron Liquids Pipeline Operating Limited Partnership (“ELPOLP”)</w:t>
            </w:r>
          </w:p>
        </w:tc>
        <w:tc>
          <w:tcPr>
            <w:tcW w:w="900" w:type="dxa"/>
            <w:tcBorders>
              <w:top w:val="single" w:sz="6" w:space="0" w:color="000000"/>
              <w:start w:val="single" w:sz="6" w:space="0" w:color="000000"/>
              <w:bottom w:val="double" w:sz="6" w:space="0" w:color="000000"/>
              <w:end w:val="single" w:sz="6" w:space="0" w:color="000000"/>
            </w:tcBorders>
          </w:tcPr>
          <w:p>
            <w:pPr>
              <w:pStyle w:val="Normal"/>
              <w:jc w:val="center"/>
              <w:rPr>
                <w:sz w:val="22"/>
              </w:rPr>
            </w:pPr>
            <w:r>
              <w:rPr>
                <w:sz w:val="22"/>
              </w:rPr>
              <w:t>2/14/97</w:t>
            </w:r>
          </w:p>
        </w:tc>
        <w:tc>
          <w:tcPr>
            <w:tcW w:w="1620" w:type="dxa"/>
            <w:tcBorders>
              <w:top w:val="single" w:sz="6" w:space="0" w:color="000000"/>
              <w:start w:val="single" w:sz="6" w:space="0" w:color="000000"/>
              <w:bottom w:val="double" w:sz="6" w:space="0" w:color="000000"/>
              <w:end w:val="single" w:sz="6" w:space="0" w:color="000000"/>
            </w:tcBorders>
          </w:tcPr>
          <w:p>
            <w:pPr>
              <w:pStyle w:val="Normal"/>
              <w:jc w:val="both"/>
              <w:rPr>
                <w:sz w:val="22"/>
              </w:rPr>
            </w:pPr>
            <w:r>
              <w:rPr>
                <w:sz w:val="22"/>
              </w:rPr>
              <w:t>Kinder Morgan, Inc.</w:t>
            </w:r>
          </w:p>
        </w:tc>
        <w:tc>
          <w:tcPr>
            <w:tcW w:w="2160" w:type="dxa"/>
            <w:tcBorders>
              <w:top w:val="single" w:sz="6" w:space="0" w:color="000000"/>
              <w:start w:val="single" w:sz="6" w:space="0" w:color="000000"/>
              <w:bottom w:val="double" w:sz="6" w:space="0" w:color="000000"/>
              <w:end w:val="double" w:sz="6" w:space="0" w:color="000000"/>
            </w:tcBorders>
          </w:tcPr>
          <w:p>
            <w:pPr>
              <w:pStyle w:val="Normal"/>
              <w:jc w:val="both"/>
              <w:rPr>
                <w:sz w:val="22"/>
              </w:rPr>
            </w:pPr>
            <w:r>
              <w:rPr>
                <w:sz w:val="22"/>
              </w:rPr>
              <w:t>Kinder Morgan</w:t>
            </w:r>
          </w:p>
          <w:p>
            <w:pPr>
              <w:pStyle w:val="Normal"/>
              <w:jc w:val="both"/>
              <w:rPr>
                <w:sz w:val="22"/>
              </w:rPr>
            </w:pPr>
            <w:r>
              <w:rPr>
                <w:sz w:val="22"/>
              </w:rPr>
              <w:t>Operating L.P. “A”</w:t>
            </w:r>
          </w:p>
        </w:tc>
      </w:tr>
    </w:tbl>
    <w:p>
      <w:pPr>
        <w:pStyle w:val="Normal"/>
        <w:jc w:val="both"/>
        <w:rPr/>
      </w:pPr>
      <w:r>
        <w:rPr/>
      </w:r>
    </w:p>
    <w:p>
      <w:pPr>
        <w:pStyle w:val="Normal"/>
        <w:jc w:val="both"/>
        <w:rPr/>
      </w:pPr>
      <w:r>
        <w:rPr/>
        <w:t>With the exception of one former Enron entity you have not named, the three entities named in the box above are the only former Enron entities that our research reveals ever were parties to (directly, or through some partnership interest) the Gas Processing Agreement between EGP and Mobil effective September 23, 1984 (the “GPA”). The entity you did not name is Enron Liquids Pipeline, L.P. (“ELP”), the limited partner in ELPOLP.  All of Enron’s interest in ELPOLP, ELP and ELPC was acquired by Kinder Morgan on or about February 14, 1997 (ELP was renamed Kinder Morgan Energy Partners, L.P.).  For further explanation, please see the attached Gas Processing Agreement Chronology.</w:t>
      </w:r>
    </w:p>
    <w:p>
      <w:pPr>
        <w:pStyle w:val="Normal"/>
        <w:jc w:val="both"/>
        <w:rPr/>
      </w:pPr>
      <w:r>
        <w:rPr/>
        <w:tab/>
      </w:r>
    </w:p>
    <w:p>
      <w:pPr>
        <w:pStyle w:val="Normal"/>
        <w:jc w:val="both"/>
        <w:rPr/>
      </w:pPr>
      <w:r>
        <w:rPr/>
        <w:tab/>
        <w:t>With regard to the remaining named defendants, the only Enron entity named who our research reveals ever had anything to do with the Helium Extraction Agreement dated March 14, 1988 between Mobil and Enron Helium Company (the “HEA”) is Enron Helium Company.  Enron Helium Company was merged into Enron Corp. on December 31, 1992.  We will, therefore, accept service on behalf of Enron Helium Company as its successor. You should be aware, however, that the HEA was assigned to KN on or about March 31, 1997.</w:t>
      </w:r>
    </w:p>
    <w:p>
      <w:pPr>
        <w:pStyle w:val="Normal"/>
        <w:jc w:val="both"/>
        <w:rPr/>
      </w:pPr>
      <w:r>
        <w:rPr/>
      </w:r>
    </w:p>
    <w:p>
      <w:pPr>
        <w:pStyle w:val="Normal"/>
        <w:jc w:val="both"/>
        <w:rPr/>
      </w:pPr>
      <w:r>
        <w:rPr/>
        <w:tab/>
        <w:t>The remaining “Enron” entities named by you in your petition as defendants appear to us to have no liability in the matter.  Those remaining entities are as follows:</w:t>
      </w:r>
    </w:p>
    <w:p>
      <w:pPr>
        <w:pStyle w:val="Normal"/>
        <w:jc w:val="both"/>
        <w:rPr/>
      </w:pPr>
      <w:r>
        <w:rPr/>
        <w:tab/>
      </w:r>
    </w:p>
    <w:p>
      <w:pPr>
        <w:pStyle w:val="Normal"/>
        <w:jc w:val="both"/>
        <w:rPr/>
      </w:pPr>
      <w:r>
        <w:rPr/>
        <w:tab/>
      </w:r>
    </w:p>
    <w:p>
      <w:pPr>
        <w:pStyle w:val="Normal"/>
        <w:jc w:val="both"/>
        <w:rPr/>
      </w:pPr>
      <w:r>
        <w:rPr/>
        <w:tab/>
        <w:t>1.</w:t>
        <w:tab/>
        <w:t>Enron Liquids Services Corp.</w:t>
      </w:r>
    </w:p>
    <w:p>
      <w:pPr>
        <w:pStyle w:val="Normal"/>
        <w:jc w:val="both"/>
        <w:rPr/>
      </w:pPr>
      <w:r>
        <w:rPr/>
        <w:tab/>
        <w:t>2.         Enron Liquids Holding Corp.</w:t>
      </w:r>
    </w:p>
    <w:p>
      <w:pPr>
        <w:pStyle w:val="Normal"/>
        <w:numPr>
          <w:ilvl w:val="0"/>
          <w:numId w:val="1"/>
        </w:numPr>
        <w:jc w:val="both"/>
        <w:rPr/>
      </w:pPr>
      <w:r>
        <w:rPr/>
        <w:t>Enron North America Corp.</w:t>
      </w:r>
    </w:p>
    <w:p>
      <w:pPr>
        <w:pStyle w:val="Normal"/>
        <w:numPr>
          <w:ilvl w:val="0"/>
          <w:numId w:val="1"/>
        </w:numPr>
        <w:jc w:val="both"/>
        <w:rPr/>
      </w:pPr>
      <w:r>
        <w:rPr/>
        <w:t>Enron Operating Company</w:t>
      </w:r>
    </w:p>
    <w:p>
      <w:pPr>
        <w:pStyle w:val="Normal"/>
        <w:jc w:val="both"/>
        <w:rPr/>
      </w:pPr>
      <w:r>
        <w:rPr/>
      </w:r>
    </w:p>
    <w:p>
      <w:pPr>
        <w:pStyle w:val="Normal"/>
        <w:jc w:val="both"/>
        <w:rPr/>
      </w:pPr>
      <w:r>
        <w:rPr/>
        <w:t>None of these entities ever owned or operated the relevant hydrocarbon or helium extraction plants or were ever parties to either the GPA or the HEA.  If you have any evidence that any of these entities have any liability in this matter, please share that with us by no later than our scheduled meeting; otherwise, we respectfully request that you promptly amend your petition to delete those entities.</w:t>
      </w:r>
    </w:p>
    <w:p>
      <w:pPr>
        <w:pStyle w:val="Normal"/>
        <w:jc w:val="both"/>
        <w:rPr/>
      </w:pPr>
      <w:r>
        <w:rPr/>
      </w:r>
    </w:p>
    <w:p>
      <w:pPr>
        <w:pStyle w:val="Normal"/>
        <w:jc w:val="both"/>
        <w:rPr/>
      </w:pPr>
      <w:r>
        <w:rPr/>
        <w:tab/>
        <w:t>We look forward to meeting with you on Friday and eliminate the waste of time and money resulting from the inaccuracies in your petition as currently filed.</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Richard Sanders</w:t>
      </w:r>
    </w:p>
    <w:p>
      <w:pPr>
        <w:pStyle w:val="Normal"/>
        <w:jc w:val="both"/>
        <w:rPr/>
      </w:pPr>
      <w:r>
        <w:rPr/>
      </w:r>
    </w:p>
    <w:p>
      <w:pPr>
        <w:pStyle w:val="Normal"/>
        <w:jc w:val="both"/>
        <w:rPr/>
      </w:pPr>
      <w:r>
        <w:rPr/>
        <w:t>RS:das</w:t>
      </w:r>
    </w:p>
    <w:p>
      <w:pPr>
        <w:pStyle w:val="Normal"/>
        <w:jc w:val="both"/>
        <w:rPr>
          <w:sz w:val="16"/>
        </w:rPr>
      </w:pPr>
      <w:r>
        <w:rPr>
          <w:sz w:val="16"/>
        </w:rPr>
        <w:t>O:\corporate\litigation\lit\exxon-mobil\l-nichols.doc</w:t>
      </w:r>
      <w:r>
        <w:br w:type="page"/>
      </w:r>
    </w:p>
    <w:p>
      <w:pPr>
        <w:pStyle w:val="Normal"/>
        <w:jc w:val="both"/>
        <w:rPr/>
      </w:pPr>
      <w:r>
        <w:rPr/>
        <w:t>bcc:</w:t>
        <w:tab/>
        <w:t>Jim Armogida, EB4849</w:t>
      </w:r>
    </w:p>
    <w:p>
      <w:pPr>
        <w:pStyle w:val="Normal"/>
        <w:jc w:val="both"/>
        <w:rPr/>
      </w:pPr>
      <w:r>
        <w:rPr/>
        <w:tab/>
        <w:t>Michael Moran, EB4773</w:t>
      </w:r>
    </w:p>
    <w:p>
      <w:pPr>
        <w:pStyle w:val="Normal"/>
        <w:jc w:val="both"/>
        <w:rPr/>
      </w:pPr>
      <w:r>
        <w:rPr/>
        <w:tab/>
        <w:t>Richard C. Vote, EB4830</w:t>
      </w:r>
    </w:p>
    <w:p>
      <w:pPr>
        <w:pStyle w:val="Normal"/>
        <w:jc w:val="both"/>
        <w:rPr/>
      </w:pPr>
      <w:r>
        <w:rPr/>
        <w:tab/>
        <w:t>Britt K. Davis, EB 4823</w:t>
      </w:r>
    </w:p>
    <w:p>
      <w:pPr>
        <w:pStyle w:val="Normal"/>
        <w:jc w:val="both"/>
        <w:rPr/>
      </w:pPr>
      <w:r>
        <w:rPr/>
        <w:tab/>
        <w:t>Lisa Robichaux, EB4832</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Eric J.R. Nichols</w:t>
    </w:r>
  </w:p>
  <w:p>
    <w:pPr>
      <w:pStyle w:val="Header"/>
      <w:rPr/>
    </w:pPr>
    <w:r>
      <w:rPr/>
      <w:t>September 22,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2000-09-22T11:38:00Z</dcterms:created>
  <dc:creator>dshahmor</dc:creator>
  <dc:description/>
  <dc:language>en-CA</dc:language>
  <cp:lastModifiedBy>becky zikes</cp:lastModifiedBy>
  <cp:lastPrinted>2000-09-27T15:09:00Z</cp:lastPrinted>
  <dcterms:modified xsi:type="dcterms:W3CDTF">2000-09-28T14:07:00Z</dcterms:modified>
  <cp:revision>25</cp:revision>
  <dc:subject/>
  <dc:title>September 22, 2000</dc:title>
</cp:coreProperties>
</file>