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media/image2.emf" ContentType="image/x-emf"/>
  <Override PartName="/word/media/image3.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rPr/>
      </w:pPr>
      <w:r>
        <w:rPr/>
        <w:t>Kudlow's Commentary</w:t>
      </w:r>
    </w:p>
    <w:p>
      <w:pPr>
        <w:pStyle w:val="TitleBanner"/>
        <w:spacing w:lineRule="exact" w:line="240"/>
        <w:rPr/>
      </w:pPr>
      <w:r>
        <w:rPr/>
      </w:r>
      <w:bookmarkStart w:id="0" w:name="AddTicker"/>
      <w:bookmarkStart w:id="1" w:name="AddTicker"/>
      <w:bookmarkEnd w:id="1"/>
    </w:p>
    <w:p>
      <w:pPr>
        <w:pStyle w:val="TitleBanner"/>
        <w:rPr>
          <w:b/>
          <w:bCs/>
          <w:sz w:val="36"/>
          <w:szCs w:val="36"/>
        </w:rPr>
      </w:pPr>
      <w:bookmarkStart w:id="2" w:name="AddTitle"/>
      <w:bookmarkEnd w:id="2"/>
      <w:r>
        <w:rPr>
          <w:b/>
          <w:bCs/>
          <w:sz w:val="36"/>
          <w:szCs w:val="36"/>
        </w:rPr>
        <w:t>Good Things</w:t>
      </w:r>
    </w:p>
    <w:p>
      <w:pPr>
        <w:pStyle w:val="Normal"/>
        <w:pBdr>
          <w:bottom w:val="double" w:sz="6" w:space="1" w:color="000000"/>
        </w:pBdr>
        <w:tabs>
          <w:tab w:val="clear" w:pos="720"/>
          <w:tab w:val="right" w:pos="5587" w:leader="none"/>
          <w:tab w:val="right" w:pos="9360" w:leader="none"/>
        </w:tabs>
        <w:spacing w:lineRule="exact" w:line="200"/>
        <w:rPr>
          <w:rStyle w:val="Date1"/>
          <w:b/>
          <w:bCs/>
          <w:sz w:val="36"/>
          <w:szCs w:val="36"/>
        </w:rPr>
      </w:pPr>
      <w:r>
        <w:rPr>
          <w:b/>
          <w:bCs/>
          <w:sz w:val="36"/>
          <w:szCs w:val="36"/>
        </w:rPr>
      </w:r>
    </w:p>
    <w:p>
      <w:pPr>
        <w:pStyle w:val="Normal"/>
        <w:pBdr>
          <w:bottom w:val="double" w:sz="6" w:space="1" w:color="000000"/>
        </w:pBdr>
        <w:tabs>
          <w:tab w:val="clear" w:pos="720"/>
          <w:tab w:val="right" w:pos="5328" w:leader="none"/>
          <w:tab w:val="right" w:pos="9504" w:leader="none"/>
        </w:tabs>
        <w:rPr/>
      </w:pPr>
      <w:r>
        <w:rPr>
          <w:rStyle w:val="Date1"/>
        </w:rPr>
        <w:t>June 4,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rPr>
        <w:t>Lawrence Kudlow (212) 644-8610</w:t>
      </w:r>
      <w:r>
        <w:rPr>
          <w:i/>
          <w:iCs/>
        </w:rPr>
        <w:t xml:space="preserve"> </w:t>
      </w:r>
      <w:bookmarkStart w:id="5" w:name="AddBullet"/>
      <w:bookmarkStart w:id="6" w:name="AddModel"/>
      <w:bookmarkEnd w:id="5"/>
      <w:bookmarkEnd w:id="6"/>
    </w:p>
    <w:p>
      <w:pPr>
        <w:pStyle w:val="Normal"/>
        <w:jc w:val="both"/>
        <w:rPr>
          <w:u w:val="single"/>
        </w:rPr>
      </w:pPr>
      <w:r>
        <w:rPr/>
        <w:tab/>
      </w:r>
      <w:r>
        <w:rPr>
          <w:sz w:val="28"/>
          <w:szCs w:val="28"/>
        </w:rPr>
        <w:tab/>
      </w:r>
    </w:p>
    <w:p>
      <w:pPr>
        <w:pStyle w:val="BodyText"/>
        <w:spacing w:lineRule="auto" w:line="240"/>
        <w:ind w:firstLine="720" w:end="0"/>
        <w:jc w:val="both"/>
        <w:rPr/>
      </w:pPr>
      <w:r>
        <w:rPr/>
        <w:t xml:space="preserve">Thanks heavens gold has retreated, the TIPS spread has narrowed, 10-year Treasury rates have eased lower and the dollar has broken new high ground.  </w:t>
      </w:r>
    </w:p>
    <w:p>
      <w:pPr>
        <w:pStyle w:val="Normal"/>
        <w:jc w:val="both"/>
        <w:rPr/>
      </w:pPr>
      <w:r>
        <w:rPr/>
      </w:r>
    </w:p>
    <w:p>
      <w:pPr>
        <w:pStyle w:val="Normal"/>
        <w:jc w:val="both"/>
        <w:rPr/>
      </w:pPr>
      <w:r>
        <w:rPr/>
        <w:tab/>
        <w:t xml:space="preserve">These are important market price indicators of future inflation and they are basically signaling that it’s okay if the Fed cuts its overnight policy rate by a quarter of a percentage point to 3¾% at its next FOMC meeting later this month.  </w:t>
      </w:r>
    </w:p>
    <w:p>
      <w:pPr>
        <w:pStyle w:val="Normal"/>
        <w:jc w:val="both"/>
        <w:rPr/>
      </w:pPr>
      <w:r>
        <w:rPr/>
      </w:r>
    </w:p>
    <w:p>
      <w:pPr>
        <w:pStyle w:val="Normal"/>
        <w:jc w:val="both"/>
        <w:rPr/>
      </w:pPr>
      <w:r>
        <w:rPr/>
        <w:tab/>
        <w:t xml:space="preserve">Still, it’s worth noting that inflation-sensitive 10-year Treasury yields are about 60 basis points above their lows of last March and the TIPS spread (based on a fifty-day smoothing average) about 40 basis points wider.  The TIPS spread is of course the difference between the 10-year Treasury market rate and the inflation-adjusted 10-year rate.  </w:t>
      </w:r>
    </w:p>
    <w:p>
      <w:pPr>
        <w:pStyle w:val="Normal"/>
        <w:jc w:val="both"/>
        <w:rPr/>
      </w:pPr>
      <w:r>
        <w:rPr/>
      </w:r>
    </w:p>
    <w:p>
      <w:pPr>
        <w:pStyle w:val="Normal"/>
        <w:ind w:firstLine="720" w:end="0"/>
        <w:jc w:val="both"/>
        <w:rPr/>
      </w:pPr>
      <w:r>
        <w:rPr/>
        <w:t xml:space="preserve">Remember, since  the inflation-adjusted  TIP is based  on  the consumer price </w:t>
      </w:r>
    </w:p>
    <w:p>
      <w:pPr>
        <w:pStyle w:val="Normal"/>
        <w:jc w:val="both"/>
        <w:rPr/>
      </w:pPr>
      <w:r>
        <w:drawing>
          <wp:anchor behindDoc="0" distT="0" distB="0" distL="0" distR="114300" simplePos="0" locked="0" layoutInCell="0" allowOverlap="1" relativeHeight="2">
            <wp:simplePos x="0" y="0"/>
            <wp:positionH relativeFrom="column">
              <wp:align>left</wp:align>
            </wp:positionH>
            <wp:positionV relativeFrom="paragraph">
              <wp:posOffset>457200</wp:posOffset>
            </wp:positionV>
            <wp:extent cx="4071620" cy="2893060"/>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4071620" cy="2893060"/>
                    </a:xfrm>
                    <a:prstGeom prst="rect">
                      <a:avLst/>
                    </a:prstGeom>
                    <a:noFill/>
                  </pic:spPr>
                </pic:pic>
              </a:graphicData>
            </a:graphic>
          </wp:anchor>
        </w:drawing>
      </w:r>
      <w:r>
        <w:rPr/>
        <w:t>index, which typically exceeds the broader-based personal spending deflator by seven-tenths of a percentage point, the 2% TIPS inflation forecast is really only 1.3%.  This is particularly interesting because a gold price model of future inflation also predicts about 1½% inflation next year.</w:t>
      </w:r>
    </w:p>
    <w:p>
      <w:pPr>
        <w:pStyle w:val="Normal"/>
        <w:ind w:firstLine="720" w:end="0"/>
        <w:jc w:val="both"/>
        <w:rPr/>
      </w:pPr>
      <w:r>
        <w:rPr/>
      </w:r>
    </w:p>
    <w:p>
      <w:pPr>
        <w:pStyle w:val="Normal"/>
        <w:ind w:firstLine="720" w:end="0"/>
        <w:jc w:val="both"/>
        <w:rPr/>
      </w:pPr>
      <w:r>
        <w:rPr/>
        <w:t xml:space="preserve">As for the modest rise in 10-year Treasury rates, this is really a reflection of changing liquidity conditions rather than rising inflation fears.  As the Fed drops the funds rate, money demand increases.  The central bank has accommodated this rising demand for money by injecting more high-powered liquidity into the financial system.  Measured over six-month intervals, growth of the monetary base has moved up from less than 2% last November to nearly 7% at an annualized rate currently.  </w:t>
      </w:r>
    </w:p>
    <w:p>
      <w:pPr>
        <w:pStyle w:val="Normal"/>
        <w:ind w:firstLine="720" w:end="0"/>
        <w:jc w:val="both"/>
        <w:rPr/>
      </w:pPr>
      <w:r>
        <w:rPr/>
      </w:r>
    </w:p>
    <w:p>
      <w:pPr>
        <w:pStyle w:val="Normal"/>
        <w:ind w:firstLine="720" w:end="0"/>
        <w:jc w:val="both"/>
        <w:rPr/>
      </w:pPr>
      <w:r>
        <w:rPr/>
        <w:t>A liquidity model of interest rates now shows that  the 10-year  yield is  today</w:t>
      </w:r>
    </w:p>
    <w:p>
      <w:pPr>
        <w:pStyle w:val="Normal"/>
        <w:ind w:firstLine="720" w:end="0"/>
        <w:jc w:val="both"/>
        <w:rPr/>
      </w:pPr>
      <w:r>
        <w:drawing>
          <wp:anchor behindDoc="0" distT="0" distB="0" distL="0" distR="114300" simplePos="0" locked="0" layoutInCell="0" allowOverlap="1" relativeHeight="3">
            <wp:simplePos x="0" y="0"/>
            <wp:positionH relativeFrom="column">
              <wp:align>left</wp:align>
            </wp:positionH>
            <wp:positionV relativeFrom="paragraph">
              <wp:posOffset>274320</wp:posOffset>
            </wp:positionV>
            <wp:extent cx="4078605" cy="2771775"/>
            <wp:effectExtent l="0" t="0" r="0" b="0"/>
            <wp:wrapSquare wrapText="bothSides"/>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4078605" cy="2771775"/>
                    </a:xfrm>
                    <a:prstGeom prst="rect">
                      <a:avLst/>
                    </a:prstGeom>
                    <a:noFill/>
                  </pic:spPr>
                </pic:pic>
              </a:graphicData>
            </a:graphic>
          </wp:anchor>
        </w:drawing>
      </w:r>
      <w:r>
        <w:rPr/>
        <w:t xml:space="preserve"> </w:t>
      </w:r>
      <w:r>
        <w:rPr/>
        <w:t xml:space="preserve">exactly where it ought to be.  This is a model of “excess money”, which uses the monetary base as a proxy for money supplied by the central bank and uses M2 as a measure of money demanded by the financial system.  </w:t>
      </w:r>
    </w:p>
    <w:p>
      <w:pPr>
        <w:pStyle w:val="Normal"/>
        <w:jc w:val="both"/>
        <w:rPr/>
      </w:pPr>
      <w:r>
        <w:rPr/>
      </w:r>
    </w:p>
    <w:p>
      <w:pPr>
        <w:pStyle w:val="Normal"/>
        <w:jc w:val="both"/>
        <w:rPr/>
      </w:pPr>
      <w:r>
        <w:rPr/>
        <w:t xml:space="preserve">From a 10% deflationary shortage of money last winter, Fed actions have cut the liquidity shortage to about 5% recently.  The model predicted the 10-year Treasury yield rising to about 5½% from 4¾%.  This is exactly what has taken place.  </w:t>
      </w:r>
    </w:p>
    <w:p>
      <w:pPr>
        <w:pStyle w:val="Normal"/>
        <w:jc w:val="both"/>
        <w:rPr/>
      </w:pPr>
      <w:r>
        <w:rPr/>
      </w:r>
    </w:p>
    <w:p>
      <w:pPr>
        <w:pStyle w:val="Normal"/>
        <w:ind w:firstLine="720" w:end="0"/>
        <w:jc w:val="both"/>
        <w:rPr/>
      </w:pPr>
      <w:r>
        <w:rPr/>
        <w:t xml:space="preserve">This very same excess money model accurately predicted the spike in Treasury rates during the second half of 1999 and the sharp decline of those yields that occurred from early 2000 through March of 2001.  Now, it is the easing of liquidity deflation, not any expectations of a shortfall in federal bond redemptions or buy-backs, that has lifted the 10-year yield. </w:t>
      </w:r>
    </w:p>
    <w:p>
      <w:pPr>
        <w:pStyle w:val="Normal"/>
        <w:ind w:firstLine="720" w:end="0"/>
        <w:jc w:val="both"/>
        <w:rPr/>
      </w:pPr>
      <w:r>
        <w:rPr/>
      </w:r>
    </w:p>
    <w:p>
      <w:pPr>
        <w:pStyle w:val="Normal"/>
        <w:ind w:firstLine="720" w:end="0"/>
        <w:jc w:val="both"/>
        <w:rPr/>
      </w:pPr>
      <w:r>
        <w:rPr/>
        <w:t>Actually, over time 10-year rates are a decent proxy for the growth of nominal GDP.  For example, a 5½% Treasury rate implies an equivalent growth of national income.  In fact, coupling a 1½% inflation forecast with a 5½% estimate of nominal GDP, leaves open the possibility that inflation-adjusted real economic growth next year could rebound to 4%.</w:t>
      </w:r>
    </w:p>
    <w:p>
      <w:pPr>
        <w:pStyle w:val="Normal"/>
        <w:ind w:firstLine="720" w:end="0"/>
        <w:jc w:val="both"/>
        <w:rPr/>
      </w:pPr>
      <w:r>
        <w:rPr/>
      </w:r>
    </w:p>
    <w:p>
      <w:pPr>
        <w:pStyle w:val="Normal"/>
        <w:ind w:firstLine="720" w:end="0"/>
        <w:jc w:val="both"/>
        <w:rPr/>
      </w:pPr>
      <w:r>
        <w:rPr/>
        <w:t xml:space="preserve">Meanwhile, in a recent teleconference speech to an international monetary gathering in Singapore, Fed chairman Alan Greenspan talked at some length about the TIPS spread, the 10-year rate and the strong dollar exchange rate.  This is noteworthy because Sir Alan appears to be paying a lot of attention to financial market indicators of liquidity and inflation as guides to Fed policy, exactly as he should be.  </w:t>
      </w:r>
    </w:p>
    <w:p>
      <w:pPr>
        <w:pStyle w:val="Normal"/>
        <w:ind w:firstLine="720" w:end="0"/>
        <w:jc w:val="both"/>
        <w:rPr/>
      </w:pPr>
      <w:r>
        <w:rPr/>
      </w:r>
    </w:p>
    <w:p>
      <w:pPr>
        <w:pStyle w:val="Normal"/>
        <w:ind w:firstLine="720" w:end="0"/>
        <w:jc w:val="both"/>
        <w:rPr/>
      </w:pPr>
      <w:r>
        <w:rPr/>
        <w:t xml:space="preserve">This was the Greenspan of most of the 1990s before he inexplicably lapsed into GDP/Phillips curve targeting in late 1999 and 2000, when he seemed to ignore the message of financial markets and erred badly first on the side of jamming down the accelerator and then slamming down the monetary brakes.  </w:t>
      </w:r>
    </w:p>
    <w:p>
      <w:pPr>
        <w:pStyle w:val="Normal"/>
        <w:ind w:firstLine="720" w:end="0"/>
        <w:jc w:val="both"/>
        <w:rPr/>
      </w:pPr>
      <w:r>
        <w:rPr/>
      </w:r>
    </w:p>
    <w:p>
      <w:pPr>
        <w:pStyle w:val="Normal"/>
        <w:ind w:firstLine="720" w:end="0"/>
        <w:jc w:val="both"/>
        <w:rPr/>
      </w:pPr>
      <w:r>
        <w:rPr/>
        <w:t xml:space="preserve">However, if Sir Alan is returning to a market-price rule approach to policy, then the likelihood is the Fed will negotiate the switch from overly tight money to a more normalized liquidity situation without engendering economy-damaging inflation or stock market-crippling spikes in long-term bond rates.  </w:t>
      </w:r>
    </w:p>
    <w:p>
      <w:pPr>
        <w:pStyle w:val="Normal"/>
        <w:ind w:firstLine="720" w:end="0"/>
        <w:jc w:val="both"/>
        <w:rPr/>
      </w:pPr>
      <w:r>
        <w:rPr/>
      </w:r>
    </w:p>
    <w:p>
      <w:pPr>
        <w:pStyle w:val="Normal"/>
        <w:ind w:firstLine="720" w:end="0"/>
        <w:jc w:val="both"/>
        <w:rPr/>
      </w:pPr>
      <w:r>
        <w:rPr/>
        <w:t xml:space="preserve">Real time market indicators have more knowledge and information about appropriate money supply and interest rate policies then large-scale econometric models.  Only the market can process all available information.  And it does so through market price signals.  Think of it as Friedrich Hayek merging with Knut Wicksell.  </w:t>
      </w:r>
    </w:p>
    <w:p>
      <w:pPr>
        <w:pStyle w:val="Normal"/>
        <w:ind w:firstLine="720" w:end="0"/>
        <w:jc w:val="both"/>
        <w:rPr/>
      </w:pPr>
      <w:r>
        <w:rPr/>
      </w:r>
    </w:p>
    <w:p>
      <w:pPr>
        <w:pStyle w:val="Normal"/>
        <w:ind w:firstLine="720" w:end="0"/>
        <w:jc w:val="both"/>
        <w:rPr>
          <w:lang w:val="en-CA"/>
        </w:rPr>
      </w:pPr>
      <w:r>
        <w:rPr>
          <w:lang w:val="en-CA"/>
        </w:rPr>
      </w:r>
    </w:p>
    <w:p>
      <w:pPr>
        <w:pStyle w:val="Normal"/>
        <w:ind w:firstLine="720" w:end="0"/>
        <w:jc w:val="both"/>
        <w:rPr>
          <w:sz w:val="28"/>
          <w:szCs w:val="28"/>
          <w:lang w:val="en-CA"/>
        </w:rPr>
      </w:pPr>
      <w:r>
        <w:drawing>
          <wp:anchor behindDoc="0" distT="0" distB="0" distL="0" distR="114300" simplePos="0" locked="0" layoutInCell="0" allowOverlap="1" relativeHeight="4">
            <wp:simplePos x="0" y="0"/>
            <wp:positionH relativeFrom="column">
              <wp:align>left</wp:align>
            </wp:positionH>
            <wp:positionV relativeFrom="paragraph">
              <wp:posOffset>274320</wp:posOffset>
            </wp:positionV>
            <wp:extent cx="4086225" cy="2893060"/>
            <wp:effectExtent l="0" t="0" r="0" b="0"/>
            <wp:wrapSquare wrapText="bothSides"/>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tretch>
                      <a:fillRect/>
                    </a:stretch>
                  </pic:blipFill>
                  <pic:spPr bwMode="auto">
                    <a:xfrm>
                      <a:off x="0" y="0"/>
                      <a:ext cx="4086225" cy="2893060"/>
                    </a:xfrm>
                    <a:prstGeom prst="rect">
                      <a:avLst/>
                    </a:prstGeom>
                    <a:noFill/>
                  </pic:spPr>
                </pic:pic>
              </a:graphicData>
            </a:graphic>
          </wp:anchor>
        </w:drawing>
      </w:r>
      <w:r>
        <w:rPr>
          <w:sz w:val="28"/>
          <w:szCs w:val="28"/>
          <w:lang w:val="en-CA"/>
        </w:rPr>
        <w:t xml:space="preserve">Speaking of the strong King dollar, its exchange rate index has appreciated by nearly 10% so far this year, despite the U.S. economic slump.  It’s an awesome statement of currency supremacy.  It also tells us that world capital flows continue to move into the free market U.S. economic stage.  </w:t>
      </w:r>
    </w:p>
    <w:p>
      <w:pPr>
        <w:pStyle w:val="Normal"/>
        <w:ind w:firstLine="720" w:end="0"/>
        <w:jc w:val="both"/>
        <w:rPr>
          <w:sz w:val="28"/>
          <w:szCs w:val="28"/>
        </w:rPr>
      </w:pPr>
      <w:r>
        <w:rPr>
          <w:sz w:val="28"/>
          <w:szCs w:val="28"/>
        </w:rPr>
      </w:r>
    </w:p>
    <w:p>
      <w:pPr>
        <w:pStyle w:val="Normal"/>
        <w:ind w:firstLine="720" w:end="0"/>
        <w:jc w:val="both"/>
        <w:rPr>
          <w:sz w:val="28"/>
          <w:szCs w:val="28"/>
        </w:rPr>
      </w:pPr>
      <w:r>
        <w:rPr>
          <w:sz w:val="28"/>
          <w:szCs w:val="28"/>
        </w:rPr>
        <w:t xml:space="preserve">Even more, it corroborates the low inflation outlook.  Show me a strong currency and I’ll show you price stability.  This has held true for the past 4500 years.  You can look it up.    </w:t>
      </w:r>
    </w:p>
    <w:p>
      <w:pPr>
        <w:pStyle w:val="Normal"/>
        <w:ind w:firstLine="720" w:end="0"/>
        <w:jc w:val="both"/>
        <w:rPr>
          <w:sz w:val="28"/>
          <w:szCs w:val="28"/>
        </w:rPr>
      </w:pPr>
      <w:r>
        <w:rPr>
          <w:sz w:val="28"/>
          <w:szCs w:val="28"/>
        </w:rPr>
      </w:r>
    </w:p>
    <w:p>
      <w:pPr>
        <w:pStyle w:val="Normal"/>
        <w:ind w:firstLine="720" w:end="0"/>
        <w:jc w:val="both"/>
        <w:rPr>
          <w:sz w:val="28"/>
          <w:szCs w:val="28"/>
        </w:rPr>
      </w:pPr>
      <w:r>
        <w:rPr>
          <w:sz w:val="28"/>
          <w:szCs w:val="28"/>
        </w:rPr>
        <w:t xml:space="preserve">The net-net of all this is that things are looking up.  A price-rule driven Fed will maintain stable and relatively low interest rates while restoring sufficient liquidity.  A market price-watching Greenspan will generate greater economic confidence and longer-term investment horizons.  In this environment declining energy costs will open the way for improved corporate profit margins.  </w:t>
      </w:r>
    </w:p>
    <w:p>
      <w:pPr>
        <w:pStyle w:val="Normal"/>
        <w:ind w:firstLine="720" w:end="0"/>
        <w:jc w:val="both"/>
        <w:rPr>
          <w:sz w:val="28"/>
          <w:szCs w:val="28"/>
        </w:rPr>
      </w:pPr>
      <w:r>
        <w:rPr>
          <w:sz w:val="28"/>
          <w:szCs w:val="28"/>
        </w:rPr>
      </w:r>
    </w:p>
    <w:p>
      <w:pPr>
        <w:pStyle w:val="Normal"/>
        <w:ind w:firstLine="720" w:end="0"/>
        <w:jc w:val="both"/>
        <w:rPr>
          <w:sz w:val="28"/>
          <w:szCs w:val="28"/>
        </w:rPr>
      </w:pPr>
      <w:r>
        <w:rPr>
          <w:sz w:val="28"/>
          <w:szCs w:val="28"/>
        </w:rPr>
        <w:t>For all these reasons, both the economic and stock market outlook is getting better.  Much better.  And let’s not forget that over time lower income tax rates will improve work and investment incentives.  As people spend and invest more of what they earn, and the Federal government commands a shrinking share of the economy, economic efficiency will improve our long-run capacity to grow.  Another very good thing.</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ind w:firstLine="720" w:end="0"/>
        <w:jc w:val="both"/>
        <w:rPr>
          <w:sz w:val="28"/>
          <w:szCs w:val="28"/>
        </w:rPr>
      </w:pPr>
      <w:r>
        <w:rPr>
          <w:sz w:val="28"/>
          <w:szCs w:val="28"/>
        </w:rPr>
      </w:r>
    </w:p>
    <w:p>
      <w:pPr>
        <w:pStyle w:val="Normal"/>
        <w:ind w:firstLine="720" w:end="0"/>
        <w:jc w:val="both"/>
        <w:rPr>
          <w:u w:val="single"/>
        </w:rPr>
      </w:pPr>
      <w:r>
        <w:rPr>
          <w:u w:val="single"/>
        </w:rPr>
        <w:tab/>
        <w:tab/>
        <w:tab/>
        <w:tab/>
        <w:tab/>
        <w:tab/>
        <w:tab/>
        <w:tab/>
        <w:tab/>
        <w:tab/>
        <w:tab/>
        <w:tab/>
      </w:r>
    </w:p>
    <w:p>
      <w:pPr>
        <w:pStyle w:val="Normal"/>
        <w:ind w:firstLine="720" w:end="0"/>
        <w:jc w:val="both"/>
        <w:rPr>
          <w:u w:val="single"/>
        </w:rPr>
      </w:pPr>
      <w:r>
        <w:rPr>
          <w:u w:val="single"/>
        </w:rPr>
      </w:r>
    </w:p>
    <w:p>
      <w:pPr>
        <w:pStyle w:val="Normal"/>
        <w:ind w:firstLine="720" w:end="0"/>
        <w:rPr/>
      </w:pPr>
      <w:r>
        <w:rPr/>
        <w:t>Kudlow &amp; Co., LLC</w:t>
        <w:tab/>
        <w:tab/>
        <w:tab/>
        <w:tab/>
        <w:tab/>
        <w:tab/>
        <w:tab/>
        <w:t xml:space="preserve">             (212)644-8610 (p)</w:t>
      </w:r>
    </w:p>
    <w:p>
      <w:pPr>
        <w:pStyle w:val="Normal"/>
        <w:ind w:firstLine="720" w:end="0"/>
        <w:rPr/>
      </w:pPr>
      <w:r>
        <w:rPr/>
        <w:t>One Dag Hammarskjold Plaza</w:t>
        <w:tab/>
        <w:tab/>
        <w:tab/>
        <w:tab/>
        <w:tab/>
        <w:tab/>
        <w:t xml:space="preserve">             (212)588-1636 (f)</w:t>
        <w:tab/>
      </w:r>
    </w:p>
    <w:p>
      <w:pPr>
        <w:pStyle w:val="Normal"/>
        <w:ind w:firstLine="720" w:end="0"/>
        <w:rPr/>
      </w:pPr>
      <w:r>
        <w:rPr/>
        <w:t>885 Second Avenue, 26</w:t>
      </w:r>
      <w:r>
        <w:rPr>
          <w:vertAlign w:val="superscript"/>
        </w:rPr>
        <w:t>th</w:t>
      </w:r>
      <w:r>
        <w:rPr/>
        <w:t xml:space="preserve"> Floor</w:t>
      </w:r>
    </w:p>
    <w:p>
      <w:pPr>
        <w:pStyle w:val="Normal"/>
        <w:ind w:firstLine="720" w:end="0"/>
        <w:rPr/>
      </w:pPr>
      <w:r>
        <w:rPr/>
        <w:t>New York, New York 10017</w:t>
        <w:tab/>
        <w:tab/>
        <w:tab/>
        <w:tab/>
        <w:tab/>
        <w:tab/>
        <w:tab/>
      </w:r>
      <w:r>
        <w:rPr>
          <w:rStyle w:val="Hyperlink"/>
        </w:rPr>
        <w:t>www.kudlow.com</w:t>
      </w:r>
    </w:p>
    <w:p>
      <w:pPr>
        <w:pStyle w:val="Normal"/>
        <w:ind w:firstLine="720" w:end="0"/>
        <w:rPr/>
      </w:pPr>
      <w:r>
        <w:rPr>
          <w:u w:val="single"/>
        </w:rPr>
        <w:tab/>
        <w:tab/>
        <w:tab/>
        <w:tab/>
        <w:tab/>
        <w:tab/>
        <w:tab/>
        <w:tab/>
        <w:tab/>
        <w:tab/>
        <w:tab/>
        <w:tab/>
      </w:r>
      <w:r>
        <w:rPr/>
        <w:tab/>
        <w:tab/>
        <w:tab/>
        <w:tab/>
        <w:tab/>
        <w:tab/>
        <w:tab/>
        <w:tab/>
        <w:tab/>
        <w:tab/>
      </w:r>
    </w:p>
    <w:sectPr>
      <w:footerReference w:type="default" r:id="rId5"/>
      <w:type w:val="nextPage"/>
      <w:pgSz w:w="12240" w:h="15840"/>
      <w:pgMar w:left="1440" w:right="1296" w:gutter="0" w:header="0" w:top="144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Palatino-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4"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480"/>
      <w:outlineLvl w:val="0"/>
    </w:pPr>
    <w:rPr>
      <w:b/>
      <w:bCs/>
      <w:sz w:val="28"/>
      <w:szCs w:val="28"/>
      <w:u w:val="single"/>
    </w:rPr>
  </w:style>
  <w:style w:type="paragraph" w:styleId="Heading2">
    <w:name w:val="heading 2"/>
    <w:basedOn w:val="Normal"/>
    <w:next w:val="Normal"/>
    <w:qFormat/>
    <w:pPr>
      <w:keepNext w:val="true"/>
      <w:numPr>
        <w:ilvl w:val="1"/>
        <w:numId w:val="1"/>
      </w:numPr>
      <w:jc w:val="center"/>
      <w:outlineLvl w:val="1"/>
    </w:pPr>
    <w:rPr>
      <w:sz w:val="24"/>
      <w:szCs w:val="24"/>
    </w:rPr>
  </w:style>
  <w:style w:type="paragraph" w:styleId="Heading3">
    <w:name w:val="heading 3"/>
    <w:basedOn w:val="Normal"/>
    <w:next w:val="Normal"/>
    <w:qFormat/>
    <w:pPr>
      <w:keepNext w:val="true"/>
      <w:numPr>
        <w:ilvl w:val="2"/>
        <w:numId w:val="1"/>
      </w:numPr>
      <w:jc w:val="both"/>
      <w:outlineLvl w:val="2"/>
    </w:pPr>
    <w:rPr>
      <w:b/>
      <w:bCs/>
      <w:i/>
      <w:iCs/>
      <w:sz w:val="28"/>
      <w:szCs w:val="28"/>
    </w:rPr>
  </w:style>
  <w:style w:type="paragraph" w:styleId="Heading5">
    <w:name w:val="heading 5"/>
    <w:basedOn w:val="Normal"/>
    <w:next w:val="Normal"/>
    <w:qFormat/>
    <w:pPr>
      <w:keepNext w:val="true"/>
      <w:numPr>
        <w:ilvl w:val="4"/>
        <w:numId w:val="1"/>
      </w:numPr>
      <w:jc w:val="both"/>
      <w:outlineLvl w:val="4"/>
    </w:pPr>
    <w:rPr>
      <w:i/>
      <w:iCs/>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iC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eastAsia="Times New Roman" w:cs="Times New Roman"/>
      <w:sz w:val="22"/>
      <w:szCs w:val="22"/>
    </w:rPr>
  </w:style>
  <w:style w:type="character" w:styleId="Date1">
    <w:name w:val="Date1"/>
    <w:basedOn w:val="DefaultParagraphFont"/>
    <w:qFormat/>
    <w:rPr>
      <w:rFonts w:ascii="Times New Roman" w:hAnsi="Times New Roman" w:eastAsia="Times New Roman" w:cs="Times New Roman"/>
      <w:sz w:val="22"/>
      <w:szCs w:val="22"/>
    </w:rPr>
  </w:style>
  <w:style w:type="character" w:styleId="Assistant">
    <w:name w:val="Assistant"/>
    <w:basedOn w:val="DefaultParagraphFont"/>
    <w:qFormat/>
    <w:rPr>
      <w:rFonts w:ascii="Times New Roman" w:hAnsi="Times New Roman" w:eastAsia="Times New Roman" w:cs="Times New Roman"/>
      <w:i/>
      <w:iCs/>
      <w:sz w:val="22"/>
      <w:szCs w:val="22"/>
    </w:rPr>
  </w:style>
  <w:style w:type="character" w:styleId="Hyperlink">
    <w:name w:val="Hyperlink"/>
    <w:basedOn w:val="DefaultParagraphFont"/>
    <w:qFormat/>
    <w:rPr>
      <w:color w:val="0000FF"/>
      <w:u w:val="single"/>
    </w:rPr>
  </w:style>
  <w:style w:type="character" w:styleId="FollowedHyperlink">
    <w:name w:val="FollowedHyperlink"/>
    <w:basedOn w:val="DefaultParagraphFont"/>
    <w:qFormat/>
    <w:rPr>
      <w:color w:val="800080"/>
      <w:u w:val="single"/>
    </w:rPr>
  </w:style>
  <w:style w:type="paragraph" w:styleId="Heading">
    <w:name w:val="Heading"/>
    <w:basedOn w:val="Normal"/>
    <w:next w:val="BodyText"/>
    <w:qFormat/>
    <w:pPr>
      <w:spacing w:lineRule="auto" w:line="480"/>
      <w:jc w:val="center"/>
    </w:pPr>
    <w:rPr>
      <w:b/>
      <w:bCs/>
      <w:sz w:val="28"/>
      <w:szCs w:val="28"/>
      <w:u w:val="single"/>
    </w:rPr>
  </w:style>
  <w:style w:type="paragraph" w:styleId="BodyText">
    <w:name w:val="Body Text"/>
    <w:basedOn w:val="Normal"/>
    <w:pPr>
      <w:spacing w:lineRule="auto" w:line="480"/>
    </w:pPr>
    <w:rPr>
      <w:sz w:val="28"/>
      <w:szCs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iCs/>
      <w:color w:val="FFFFFF"/>
      <w:sz w:val="32"/>
      <w:szCs w:val="32"/>
    </w:rPr>
  </w:style>
  <w:style w:type="paragraph" w:styleId="CompanyBanner">
    <w:name w:val="CompanyBanner"/>
    <w:basedOn w:val="Normal"/>
    <w:qFormat/>
    <w:pPr>
      <w:spacing w:before="400" w:after="0"/>
      <w:jc w:val="center"/>
    </w:pPr>
    <w:rPr>
      <w:b/>
      <w:bCs/>
      <w:sz w:val="32"/>
      <w:szCs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iCs/>
      <w:sz w:val="28"/>
      <w:szCs w:val="28"/>
    </w:rPr>
  </w:style>
  <w:style w:type="paragraph" w:styleId="KeyPoint">
    <w:name w:val="KeyPoint"/>
    <w:basedOn w:val="Normal"/>
    <w:qFormat/>
    <w:pPr/>
    <w:rPr>
      <w:b/>
      <w:bCs/>
      <w:sz w:val="26"/>
      <w:szCs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szCs w:val="22"/>
    </w:rPr>
  </w:style>
  <w:style w:type="paragraph" w:styleId="BodyText1">
    <w:name w:val="BodyText"/>
    <w:basedOn w:val="Normal"/>
    <w:qFormat/>
    <w:pPr>
      <w:jc w:val="both"/>
    </w:pPr>
    <w:rPr>
      <w:sz w:val="22"/>
      <w:szCs w:val="22"/>
    </w:rPr>
  </w:style>
  <w:style w:type="paragraph" w:styleId="BodyText2">
    <w:name w:val="Body Text 2"/>
    <w:basedOn w:val="Normal"/>
    <w:qFormat/>
    <w:pPr>
      <w:ind w:firstLine="720" w:start="0" w:end="0"/>
    </w:pPr>
    <w:rPr>
      <w:rFonts w:ascii="Palatino-Roman" w:hAnsi="Palatino-Roman" w:eastAsia="Palatino-Roman" w:cs="Palatino-Roman"/>
      <w:sz w:val="24"/>
      <w:szCs w:val="24"/>
    </w:rPr>
  </w:style>
  <w:style w:type="paragraph" w:styleId="WW-BodyText2">
    <w:name w:val="WW-Body Text 2"/>
    <w:basedOn w:val="Normal"/>
    <w:qFormat/>
    <w:pPr>
      <w:ind w:firstLine="720" w:start="0" w:end="0"/>
      <w:jc w:val="both"/>
    </w:pPr>
    <w:rPr>
      <w:sz w:val="28"/>
      <w:szCs w:val="28"/>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image" Target="media/image3.emf"/><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2001-06-04T13:33:00Z</dcterms:created>
  <dc:creator>Susan Varga</dc:creator>
  <dc:description/>
  <dc:language>en-CA</dc:language>
  <cp:lastModifiedBy>svarga</cp:lastModifiedBy>
  <cp:lastPrinted>2001-05-22T16:08:00Z</cp:lastPrinted>
  <dcterms:modified xsi:type="dcterms:W3CDTF">2001-06-04T13:33:00Z</dcterms:modified>
  <cp:revision>2</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