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Global Recession</w:t>
      </w:r>
    </w:p>
    <w:p>
      <w:pPr>
        <w:pStyle w:val="Heading4"/>
        <w:ind w:hanging="0" w:start="0"/>
        <w:rPr>
          <w:sz w:val="28"/>
        </w:rPr>
      </w:pPr>
      <w:r>
        <w:rPr>
          <w:sz w:val="28"/>
        </w:rPr>
        <w:t>By Lawrence Kudlow &amp; John Park</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October 30,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ing1"/>
        <w:spacing w:lineRule="auto" w:line="240"/>
        <w:ind w:hanging="0" w:start="0"/>
        <w:jc w:val="both"/>
        <w:rPr>
          <w:b w:val="false"/>
          <w:bCs/>
          <w:u w:val="none"/>
        </w:rPr>
      </w:pPr>
      <w:r>
        <w:rPr>
          <w:b w:val="false"/>
          <w:bCs/>
          <w:u w:val="none"/>
        </w:rPr>
        <w:tab/>
      </w:r>
    </w:p>
    <w:p>
      <w:pPr>
        <w:pStyle w:val="Heading1"/>
        <w:spacing w:lineRule="auto" w:line="240"/>
        <w:ind w:firstLine="720" w:start="0" w:end="0"/>
        <w:jc w:val="both"/>
        <w:rPr>
          <w:b w:val="false"/>
          <w:bCs/>
          <w:u w:val="none"/>
        </w:rPr>
      </w:pPr>
      <w:r>
        <w:rPr>
          <w:b w:val="false"/>
          <w:bCs/>
          <w:u w:val="none"/>
        </w:rPr>
        <w:t xml:space="preserve">Industrialized countries are moving into the first synchronized global recession since the mid-1970s.  The OECD and the IMF cannot mark their economic projections down fast enough.  So far at least the U.S. and Japan are being honest.  Euroland, however, is still in denial.  On the brighter side, might the Japanese really embark on “drastic tax cuts?” </w:t>
      </w:r>
    </w:p>
    <w:p>
      <w:pPr>
        <w:pStyle w:val="Normal"/>
        <w:rPr>
          <w:b/>
          <w:bCs/>
          <w:u w:val="none"/>
        </w:rPr>
      </w:pPr>
      <w:r>
        <w:rPr>
          <w:b/>
          <w:bCs/>
          <w:u w:val="none"/>
        </w:rPr>
      </w:r>
    </w:p>
    <w:p>
      <w:pPr>
        <w:pStyle w:val="Heading1"/>
        <w:ind w:hanging="0" w:start="0"/>
        <w:rPr>
          <w:i/>
          <w:i/>
          <w:iCs/>
          <w:u w:val="none"/>
        </w:rPr>
      </w:pPr>
      <w:r>
        <w:rPr>
          <w:i/>
          <w:iCs/>
          <w:u w:val="none"/>
        </w:rPr>
        <w:t>Euro-zone GDP Outlook</w:t>
      </w:r>
    </w:p>
    <w:p>
      <w:pPr>
        <w:pStyle w:val="BodyText"/>
        <w:spacing w:lineRule="auto" w:line="240"/>
        <w:ind w:firstLine="720" w:end="0"/>
        <w:jc w:val="both"/>
        <w:rPr/>
      </w:pPr>
      <w:r>
        <w:drawing>
          <wp:anchor behindDoc="0" distT="0" distB="0" distL="114935" distR="114935" simplePos="0" locked="0" layoutInCell="0" allowOverlap="1" relativeHeight="6">
            <wp:simplePos x="0" y="0"/>
            <wp:positionH relativeFrom="column">
              <wp:posOffset>-62865</wp:posOffset>
            </wp:positionH>
            <wp:positionV relativeFrom="page">
              <wp:posOffset>4841240</wp:posOffset>
            </wp:positionV>
            <wp:extent cx="4069080" cy="288226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69080" cy="2882265"/>
                    </a:xfrm>
                    <a:prstGeom prst="rect">
                      <a:avLst/>
                    </a:prstGeom>
                    <a:noFill/>
                  </pic:spPr>
                </pic:pic>
              </a:graphicData>
            </a:graphic>
          </wp:anchor>
        </w:drawing>
      </w:r>
      <w:r>
        <w:rPr/>
        <w:t xml:space="preserve">In keeping the ECB rates unchanged on Thursday (Oct 25, 2001), council member Ernst Welteke stated that lower rates were not justified because the euro-zone did not face a recession.  The data would beg to differ.  Like the rest of the world, the euro-zone economy is slowing, and the prospects are dim.  Germany’s Ifo business survey for September showed the largest one month drop in almost 28 years, and the 85.0 level is the lowest since 1993.  European short rates also point to a continuing economic slide. </w:t>
      </w:r>
    </w:p>
    <w:p>
      <w:pPr>
        <w:pStyle w:val="BodyText"/>
        <w:spacing w:lineRule="auto" w:line="240"/>
        <w:ind w:firstLine="720" w:end="0"/>
        <w:jc w:val="both"/>
        <w:rPr/>
      </w:pPr>
      <w:r>
        <w:rPr/>
      </w:r>
    </w:p>
    <w:p>
      <w:pPr>
        <w:pStyle w:val="BodyText"/>
        <w:spacing w:lineRule="auto" w:line="240"/>
        <w:ind w:firstLine="720" w:end="0"/>
        <w:jc w:val="both"/>
        <w:rPr/>
      </w:pPr>
      <w:r>
        <w:rPr/>
        <w:t>For the US, the 3-month T-bill is very useful for modeling GDP growth.  This approach also works for the euro-zone; the 4-quarter change of real GDP and the 3-month Eurodollar deposit rate are highly correlated (0.77 since 1991).  A forward projection of GDP growth is possible using Eurodollar futures.  Based on the futures rates, a preliminary regression shows that the euro-zone’s growth will sink below zero in 2001 Q4 and turn positive in Q3 or Q4 of 2002.</w:t>
      </w:r>
    </w:p>
    <w:p>
      <w:pPr>
        <w:pStyle w:val="BodyText"/>
        <w:spacing w:lineRule="auto" w:line="240"/>
        <w:ind w:firstLine="720" w:end="0"/>
        <w:jc w:val="both"/>
        <w:rPr/>
      </w:pPr>
      <w:r>
        <w:rPr/>
        <w:drawing>
          <wp:anchor behindDoc="0" distT="0" distB="0" distL="114935" distR="114935" simplePos="0" locked="0" layoutInCell="0" allowOverlap="1" relativeHeight="7">
            <wp:simplePos x="0" y="0"/>
            <wp:positionH relativeFrom="column">
              <wp:posOffset>13335</wp:posOffset>
            </wp:positionH>
            <wp:positionV relativeFrom="page">
              <wp:posOffset>802640</wp:posOffset>
            </wp:positionV>
            <wp:extent cx="4077970" cy="2877820"/>
            <wp:effectExtent l="0" t="0" r="0" b="0"/>
            <wp:wrapSquare wrapText="bothSides"/>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7" t="-9" r="-7" b="-9"/>
                    <a:stretch>
                      <a:fillRect/>
                    </a:stretch>
                  </pic:blipFill>
                  <pic:spPr bwMode="auto">
                    <a:xfrm>
                      <a:off x="0" y="0"/>
                      <a:ext cx="4077970" cy="2877820"/>
                    </a:xfrm>
                    <a:prstGeom prst="rect">
                      <a:avLst/>
                    </a:prstGeom>
                    <a:noFill/>
                  </pic:spPr>
                </pic:pic>
              </a:graphicData>
            </a:graphic>
          </wp:anchor>
        </w:drawing>
      </w:r>
    </w:p>
    <w:p>
      <w:pPr>
        <w:pStyle w:val="BodyText"/>
        <w:spacing w:lineRule="auto" w:line="240"/>
        <w:ind w:firstLine="720" w:end="0"/>
        <w:jc w:val="both"/>
        <w:rPr/>
      </w:pPr>
      <w:r>
        <w:rPr/>
        <w:t>The ECB seems to be turning a blind eye to an obvious market indicator.   What does this mean for the central bank’s rates?  In the short time that the ECB has been setting rates (since the end of 1998), they have been consistently behind the curve.  The central bank does raise and lower its rates in accordance with the market, but only after a five to six month delay.  Lower rates will be forthcoming from the ECB; however, it will be an afterthought for the market.</w:t>
      </w:r>
    </w:p>
    <w:p>
      <w:pPr>
        <w:pStyle w:val="BodyText"/>
        <w:spacing w:lineRule="auto" w:line="240"/>
        <w:ind w:firstLine="720" w:end="0"/>
        <w:jc w:val="both"/>
        <w:rPr/>
      </w:pPr>
      <w:r>
        <w:rPr/>
      </w:r>
    </w:p>
    <w:p>
      <w:pPr>
        <w:pStyle w:val="Heading1"/>
        <w:ind w:hanging="0" w:start="0"/>
        <w:rPr>
          <w:i/>
          <w:i/>
          <w:iCs/>
          <w:u w:val="none"/>
        </w:rPr>
      </w:pPr>
      <w:r>
        <w:rPr>
          <w:i/>
          <w:iCs/>
          <w:u w:val="none"/>
        </w:rPr>
        <w:t>Japanese Outlook</w:t>
      </w:r>
    </w:p>
    <w:p>
      <w:pPr>
        <w:pStyle w:val="Normal"/>
        <w:rPr>
          <w:i/>
          <w:i/>
          <w:iCs/>
          <w:u w:val="none"/>
        </w:rPr>
      </w:pPr>
      <w:r>
        <w:rPr>
          <w:i/>
          <w:iCs/>
          <w:u w:val="none"/>
        </w:rPr>
      </w:r>
    </w:p>
    <w:p>
      <w:pPr>
        <w:pStyle w:val="BodyText"/>
        <w:spacing w:lineRule="auto" w:line="240"/>
        <w:ind w:firstLine="720" w:end="0"/>
        <w:jc w:val="both"/>
        <w:rPr/>
      </w:pPr>
      <w:r>
        <w:drawing>
          <wp:anchor behindDoc="0" distT="0" distB="0" distL="114935" distR="114935" simplePos="0" locked="0" layoutInCell="0" allowOverlap="1" relativeHeight="8">
            <wp:simplePos x="0" y="0"/>
            <wp:positionH relativeFrom="column">
              <wp:posOffset>-62865</wp:posOffset>
            </wp:positionH>
            <wp:positionV relativeFrom="paragraph">
              <wp:posOffset>33020</wp:posOffset>
            </wp:positionV>
            <wp:extent cx="4077970" cy="2877820"/>
            <wp:effectExtent l="0" t="0" r="0" b="0"/>
            <wp:wrapSquare wrapText="bothSides"/>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7" t="-9" r="-7" b="-9"/>
                    <a:stretch>
                      <a:fillRect/>
                    </a:stretch>
                  </pic:blipFill>
                  <pic:spPr bwMode="auto">
                    <a:xfrm>
                      <a:off x="0" y="0"/>
                      <a:ext cx="4077970" cy="2877820"/>
                    </a:xfrm>
                    <a:prstGeom prst="rect">
                      <a:avLst/>
                    </a:prstGeom>
                    <a:noFill/>
                  </pic:spPr>
                </pic:pic>
              </a:graphicData>
            </a:graphic>
          </wp:anchor>
        </w:drawing>
      </w:r>
      <w:r>
        <w:rPr/>
        <w:t>In its latest economic assessment, the Bank of Japan belatedly concluded that another recession is commencing.  The major reason for this, despite BoJ Governor Hayami’s insistence of its non-existence, is Japan’s deflationary spiral.  The evidence: on a 12-month change basis, Japan’s CPI has been negative for the last 25 months and 31 of the last 32 months.  In light of this, Gov. Hayami’s great reluctance to spur price increases for fear of igniting runaway inflation seems quite odd.</w:t>
      </w:r>
    </w:p>
    <w:p>
      <w:pPr>
        <w:pStyle w:val="BodyText"/>
        <w:spacing w:lineRule="auto" w:line="240"/>
        <w:jc w:val="both"/>
        <w:rPr/>
      </w:pPr>
      <w:r>
        <w:rPr/>
      </w:r>
    </w:p>
    <w:p>
      <w:pPr>
        <w:pStyle w:val="BodyText"/>
        <w:spacing w:lineRule="auto" w:line="240"/>
        <w:ind w:firstLine="720" w:end="0"/>
        <w:jc w:val="both"/>
        <w:rPr/>
      </w:pPr>
      <w:r>
        <w:rPr/>
        <w:t>Reversing the deflation and reviving growth will be a tall order for the BoJ.  With its overnight call rate already at 0.003%, interest rate policy seems impotent.  Indeed, as an economic tool, interest rates seem to have lost its power some time ago.  Comparing the 4-quarter change of real GDP (smoothed over 4-quarters) to the 4-quarter change in the overnight rate, the correlation deteriorates from 0.64 during the 1982-91 period to –0.03 since then.  It is probably no coincidence that the decoupling of monetary stimulus and growth corresponds to an increased governmental role in the economy: government spending share of GDP rose from about 31% in 1991 to about 38% now as public works projects multiplied.</w:t>
      </w:r>
    </w:p>
    <w:p>
      <w:pPr>
        <w:pStyle w:val="BodyText"/>
        <w:rPr/>
      </w:pPr>
      <w:r>
        <w:rPr/>
        <w:drawing>
          <wp:anchor behindDoc="0" distT="0" distB="0" distL="114935" distR="114935" simplePos="0" locked="0" layoutInCell="0" allowOverlap="1" relativeHeight="9">
            <wp:simplePos x="0" y="0"/>
            <wp:positionH relativeFrom="column">
              <wp:posOffset>13335</wp:posOffset>
            </wp:positionH>
            <wp:positionV relativeFrom="paragraph">
              <wp:posOffset>299720</wp:posOffset>
            </wp:positionV>
            <wp:extent cx="4077970" cy="2911475"/>
            <wp:effectExtent l="0" t="0" r="0" b="0"/>
            <wp:wrapSquare wrapText="bothSides"/>
            <wp:docPr id="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title=""/>
                    <pic:cNvPicPr>
                      <a:picLocks noChangeAspect="1" noChangeArrowheads="1"/>
                    </pic:cNvPicPr>
                  </pic:nvPicPr>
                  <pic:blipFill>
                    <a:blip r:embed="rId5"/>
                    <a:srcRect l="-7" t="-9" r="-7" b="-9"/>
                    <a:stretch>
                      <a:fillRect/>
                    </a:stretch>
                  </pic:blipFill>
                  <pic:spPr bwMode="auto">
                    <a:xfrm>
                      <a:off x="0" y="0"/>
                      <a:ext cx="4077970" cy="2911475"/>
                    </a:xfrm>
                    <a:prstGeom prst="rect">
                      <a:avLst/>
                    </a:prstGeom>
                    <a:noFill/>
                  </pic:spPr>
                </pic:pic>
              </a:graphicData>
            </a:graphic>
          </wp:anchor>
        </w:drawing>
      </w:r>
    </w:p>
    <w:p>
      <w:pPr>
        <w:pStyle w:val="BodyText"/>
        <w:spacing w:lineRule="auto" w:line="240"/>
        <w:ind w:firstLine="720" w:end="0"/>
        <w:jc w:val="both"/>
        <w:rPr/>
      </w:pPr>
      <w:r>
        <w:rPr/>
        <w:t>With the interest rate tool out of commission, the BoJ must rely on its liquidity providing abilities.  To this end, the BoJ reaffirmed it support of maintaining the outstanding current account balances at a level over six trillion yen, and Japan’s monetary base growth has risen to 14.2% in September.  However, the BoJ’s switch to maintaining higher current account balances is recent, and base growth is recovering from a plunge from 22.8% in January 2000 to –5.6% a year later.  Increased liquidity is a correct, but only a partial, prescription for what ails Japan.</w:t>
      </w:r>
    </w:p>
    <w:p>
      <w:pPr>
        <w:pStyle w:val="BodyText"/>
        <w:spacing w:lineRule="auto" w:line="240"/>
        <w:ind w:firstLine="720" w:end="0"/>
        <w:jc w:val="both"/>
        <w:rPr/>
      </w:pPr>
      <w:r>
        <w:rPr/>
      </w:r>
    </w:p>
    <w:p>
      <w:pPr>
        <w:pStyle w:val="BodyText"/>
        <w:spacing w:lineRule="auto" w:line="240"/>
        <w:ind w:firstLine="720" w:end="0"/>
        <w:jc w:val="both"/>
        <w:rPr/>
      </w:pPr>
      <w:r>
        <w:rPr/>
        <w:t xml:space="preserve">What the land of the setting sun truly needs is a big tax jolt to spur wealth and job-creating incentives.  So the question is whether Japanese finance minister Shiokawa’s statement quoted in the </w:t>
      </w:r>
      <w:r>
        <w:rPr>
          <w:i/>
          <w:iCs/>
        </w:rPr>
        <w:t>Financial Times</w:t>
      </w:r>
      <w:r>
        <w:rPr/>
        <w:t xml:space="preserve"> has any credibility.  </w:t>
      </w:r>
    </w:p>
    <w:p>
      <w:pPr>
        <w:pStyle w:val="BodyText"/>
        <w:spacing w:lineRule="auto" w:line="240"/>
        <w:ind w:firstLine="720" w:end="0"/>
        <w:jc w:val="both"/>
        <w:rPr/>
      </w:pPr>
      <w:r>
        <w:rPr/>
      </w:r>
    </w:p>
    <w:p>
      <w:pPr>
        <w:pStyle w:val="BodyText"/>
        <w:spacing w:lineRule="auto" w:line="240"/>
        <w:ind w:firstLine="720" w:end="0"/>
        <w:jc w:val="both"/>
        <w:rPr/>
      </w:pPr>
      <w:r>
        <w:rPr/>
        <w:t>“</w:t>
      </w:r>
      <w:r>
        <w:rPr/>
        <w:t>I would like to carry out drastic tax-cuts to stimulate the economy and I would like to consider taxation to help support small and medium-sized businesses.”</w:t>
      </w:r>
    </w:p>
    <w:p>
      <w:pPr>
        <w:pStyle w:val="BodyText"/>
        <w:spacing w:lineRule="auto" w:line="240"/>
        <w:ind w:firstLine="720" w:end="0"/>
        <w:jc w:val="both"/>
        <w:rPr/>
      </w:pPr>
      <w:r>
        <w:rPr/>
      </w:r>
    </w:p>
    <w:p>
      <w:pPr>
        <w:pStyle w:val="BodyText"/>
        <w:spacing w:lineRule="auto" w:line="240"/>
        <w:ind w:firstLine="720" w:end="0"/>
        <w:jc w:val="both"/>
        <w:rPr/>
      </w:pPr>
      <w:r>
        <w:rPr/>
        <w:t xml:space="preserve">If Mr. Shiokawa is merely blowing smoke, then the Nikkei will continue to go up in smoke.  But if there’s some truth-telling in this statement, then Japan’s economy and stock markets are very undervalued.  </w:t>
      </w:r>
    </w:p>
    <w:p>
      <w:pPr>
        <w:pStyle w:val="BodyText"/>
        <w:spacing w:lineRule="auto" w:line="240"/>
        <w:ind w:firstLine="720" w:end="0"/>
        <w:jc w:val="both"/>
        <w:rPr/>
      </w:pPr>
      <w:r>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6"/>
      <w:type w:val="nextPage"/>
      <w:pgSz w:w="12240" w:h="15840"/>
      <w:pgMar w:left="1440" w:right="1296" w:gutter="0" w:header="0" w:top="1152"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NormalWeb">
    <w:name w:val="Normal (Web)"/>
    <w:basedOn w:val="Normal"/>
    <w:qFormat/>
    <w:pPr>
      <w:overflowPunct w:val="true"/>
      <w:autoSpaceDE w:val="true"/>
      <w:spacing w:before="100" w:after="100"/>
      <w:textAlignment w:val="auto"/>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2001-10-30T20:10:00Z</dcterms:created>
  <dc:creator>Susan Varga</dc:creator>
  <dc:description/>
  <dc:language>en-CA</dc:language>
  <cp:lastModifiedBy>svarga</cp:lastModifiedBy>
  <cp:lastPrinted>2001-10-30T17:44:00Z</cp:lastPrinted>
  <dcterms:modified xsi:type="dcterms:W3CDTF">2001-10-30T20:32:00Z</dcterms:modified>
  <cp:revision>9</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