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Playing a New Hand</w:t>
      </w:r>
    </w:p>
    <w:p>
      <w:pPr>
        <w:pStyle w:val="Heading4"/>
        <w:ind w:hanging="0" w:start="0"/>
        <w:rPr>
          <w:sz w:val="28"/>
        </w:rPr>
      </w:pPr>
      <w:r>
        <w:rPr>
          <w:sz w:val="28"/>
        </w:rPr>
        <w:t>By Lawrence Kudlow</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29,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Heading1"/>
        <w:spacing w:lineRule="auto" w:line="240"/>
        <w:ind w:firstLine="720" w:start="0" w:end="0"/>
        <w:jc w:val="both"/>
        <w:rPr>
          <w:b w:val="false"/>
          <w:bCs/>
          <w:u w:val="none"/>
        </w:rPr>
      </w:pPr>
      <w:r>
        <w:rPr>
          <w:b w:val="false"/>
          <w:bCs/>
          <w:u w:val="none"/>
        </w:rPr>
        <w:t xml:space="preserve">Recently the Organization for Economic Cooperation and Development (OECD) more than halved the 2002 economic growth forecast for its 30 member states to 1.2% from 2.8%.  This is a big markdown, but it doesn’t yet capture the deflationary recession that has spread worldwide.  </w:t>
      </w:r>
    </w:p>
    <w:p>
      <w:pPr>
        <w:pStyle w:val="Normal"/>
        <w:rPr>
          <w:b/>
          <w:bCs/>
          <w:u w:val="none"/>
        </w:rPr>
      </w:pPr>
      <w:r>
        <w:rPr>
          <w:b/>
          <w:bCs/>
          <w:u w:val="none"/>
        </w:rPr>
      </w:r>
    </w:p>
    <w:p>
      <w:pPr>
        <w:pStyle w:val="Normal"/>
        <w:jc w:val="both"/>
        <w:rPr/>
      </w:pPr>
      <w:r>
        <w:rPr/>
        <w:tab/>
      </w:r>
      <w:r>
        <w:rPr>
          <w:sz w:val="28"/>
        </w:rPr>
        <w:t xml:space="preserve">A combination of overly tight money, prior oil price hikes and insufficient attention to pro-growth tax reform are the proximate causes of this global downturn.  Terrorist bombings on U.S. cities have also reverberated to the detriment of the world economy.  </w:t>
      </w:r>
    </w:p>
    <w:p>
      <w:pPr>
        <w:pStyle w:val="Normal"/>
        <w:jc w:val="both"/>
        <w:rPr>
          <w:sz w:val="28"/>
        </w:rPr>
      </w:pPr>
      <w:r>
        <w:rPr>
          <w:sz w:val="28"/>
        </w:rPr>
      </w:r>
    </w:p>
    <w:p>
      <w:pPr>
        <w:pStyle w:val="Normal"/>
        <w:jc w:val="both"/>
        <w:rPr>
          <w:sz w:val="28"/>
        </w:rPr>
      </w:pPr>
      <w:r>
        <w:drawing>
          <wp:anchor behindDoc="0" distT="0" distB="0" distL="0" distR="114935" simplePos="0" locked="0" layoutInCell="0" allowOverlap="1" relativeHeight="5">
            <wp:simplePos x="0" y="0"/>
            <wp:positionH relativeFrom="column">
              <wp:align>left</wp:align>
            </wp:positionH>
            <wp:positionV relativeFrom="paragraph">
              <wp:posOffset>274320</wp:posOffset>
            </wp:positionV>
            <wp:extent cx="4087495" cy="289179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87495" cy="2891790"/>
                    </a:xfrm>
                    <a:prstGeom prst="rect">
                      <a:avLst/>
                    </a:prstGeom>
                    <a:noFill/>
                  </pic:spPr>
                </pic:pic>
              </a:graphicData>
            </a:graphic>
          </wp:anchor>
        </w:drawing>
      </w:r>
      <w:r>
        <w:rPr>
          <w:sz w:val="28"/>
        </w:rPr>
        <w:tab/>
        <w:t xml:space="preserve">Massive stock market losses in the wake of monetary deflation have contributed to a huge global deflation of wealth.  As a result of plunging asset values, shrinking business net worth has made companies credit unworthy.  So the worldwide liquidity squeeze driven by G-7 central banks in search of an inflation that never truly existed has turned into a global credit crunch.  California economist Victor Canto calls this “a wealth trap.” </w:t>
      </w:r>
    </w:p>
    <w:p>
      <w:pPr>
        <w:pStyle w:val="Normal"/>
        <w:jc w:val="both"/>
        <w:rPr>
          <w:sz w:val="28"/>
        </w:rPr>
      </w:pPr>
      <w:r>
        <w:rPr>
          <w:sz w:val="28"/>
        </w:rPr>
      </w:r>
    </w:p>
    <w:p>
      <w:pPr>
        <w:pStyle w:val="Normal"/>
        <w:jc w:val="both"/>
        <w:rPr>
          <w:sz w:val="28"/>
        </w:rPr>
      </w:pPr>
      <w:r>
        <w:rPr>
          <w:sz w:val="28"/>
        </w:rPr>
        <w:tab/>
        <w:t xml:space="preserve">Unfortunately, G-7 finance ministers have thus far developed no policy vision to replenish the massive worldwide decline of wealth.  Instead, most of the financial officials are still concerned about budget surpluses rather than wealth creation.  This is especially the case in Europe, where member states are being advised by head-in-the-sand European Union planners to rely on so-called “automatic stabilizers,” meaning that tax revenues will fall and welfare-entitlement payments will rise during economic downturns that produce more unemployment and less wealth.  </w:t>
      </w:r>
    </w:p>
    <w:p>
      <w:pPr>
        <w:pStyle w:val="Normal"/>
        <w:jc w:val="both"/>
        <w:rPr>
          <w:sz w:val="28"/>
        </w:rPr>
      </w:pPr>
      <w:r>
        <w:rPr>
          <w:sz w:val="28"/>
        </w:rPr>
      </w:r>
    </w:p>
    <w:p>
      <w:pPr>
        <w:pStyle w:val="Normal"/>
        <w:jc w:val="both"/>
        <w:rPr>
          <w:sz w:val="28"/>
        </w:rPr>
      </w:pPr>
      <w:r>
        <w:rPr>
          <w:sz w:val="28"/>
        </w:rPr>
        <w:tab/>
        <w:t xml:space="preserve">But the economic decline behind the drop in tax revenues is the problem, not the solution. Failure to understand the difference between tax-rates and tax revenues is a big part of today’s economic policy malaise.  Lower tax-rates across-the-board is a growth solution that would re-energize incentives for risk-taking, capital formation and work effort.  Incentives matter.  Supply-side mentor Arthur Laffer correctly argued many years ago that lower tax-rates produce higher revenues as investments and incomes expand in recovery.  </w:t>
      </w:r>
    </w:p>
    <w:p>
      <w:pPr>
        <w:pStyle w:val="Normal"/>
        <w:jc w:val="both"/>
        <w:rPr>
          <w:sz w:val="28"/>
        </w:rPr>
      </w:pPr>
      <w:r>
        <w:rPr>
          <w:sz w:val="28"/>
        </w:rPr>
      </w:r>
    </w:p>
    <w:p>
      <w:pPr>
        <w:pStyle w:val="Normal"/>
        <w:jc w:val="both"/>
        <w:rPr>
          <w:sz w:val="28"/>
        </w:rPr>
      </w:pPr>
      <w:r>
        <w:rPr>
          <w:sz w:val="28"/>
        </w:rPr>
        <w:tab/>
        <w:t xml:space="preserve">Here’s another problem: finance officials appear not to understand today’s  unbalanced relationship between risk and reward.  In the after-shock of international stock market declines and the onset of the war against terrorism, investment risk premiums are abnormally high.  So investment rewards, after-tax, must also be adjusted significantly higher.  Worldwide tax-rate reduction would create new economic incentives to offset new risks.  </w:t>
      </w:r>
    </w:p>
    <w:p>
      <w:pPr>
        <w:pStyle w:val="Normal"/>
        <w:jc w:val="both"/>
        <w:rPr>
          <w:sz w:val="28"/>
        </w:rPr>
      </w:pPr>
      <w:r>
        <w:rPr>
          <w:sz w:val="28"/>
        </w:rPr>
      </w:r>
    </w:p>
    <w:p>
      <w:pPr>
        <w:pStyle w:val="Normal"/>
        <w:jc w:val="both"/>
        <w:rPr>
          <w:sz w:val="28"/>
        </w:rPr>
      </w:pPr>
      <w:r>
        <w:rPr>
          <w:sz w:val="28"/>
        </w:rPr>
        <w:tab/>
        <w:t xml:space="preserve">The world needs a new policy mix: lower tax-rates and more money creation.  Add to that a measure of deregulation and an expansion of world trade.  </w:t>
      </w:r>
    </w:p>
    <w:p>
      <w:pPr>
        <w:pStyle w:val="Normal"/>
        <w:jc w:val="both"/>
        <w:rPr>
          <w:sz w:val="28"/>
        </w:rPr>
      </w:pPr>
      <w:r>
        <w:rPr>
          <w:sz w:val="28"/>
        </w:rPr>
      </w:r>
    </w:p>
    <w:p>
      <w:pPr>
        <w:pStyle w:val="Normal"/>
        <w:jc w:val="both"/>
        <w:rPr>
          <w:sz w:val="28"/>
        </w:rPr>
      </w:pPr>
      <w:r>
        <w:rPr>
          <w:sz w:val="28"/>
        </w:rPr>
        <w:tab/>
        <w:t xml:space="preserve">There is some positive movement going on in the trade area, at least in the run-up to the next World Trade Organization meeting that is scheduled to convene in Doha, Qatar on November 9-13.  There are also some modest tax-cutting initiatives in the U.S. and Germany. More forceful money creation is developing in the U.S., and to a lesser extent in Europe and Japan.  But key commodity indicators are still signaling deflationary price pressures worldwide.  </w:t>
      </w:r>
    </w:p>
    <w:p>
      <w:pPr>
        <w:pStyle w:val="Normal"/>
        <w:jc w:val="both"/>
        <w:rPr>
          <w:sz w:val="28"/>
        </w:rPr>
      </w:pPr>
      <w:r>
        <w:rPr>
          <w:sz w:val="28"/>
        </w:rPr>
      </w:r>
    </w:p>
    <w:p>
      <w:pPr>
        <w:pStyle w:val="Normal"/>
        <w:jc w:val="both"/>
        <w:rPr>
          <w:sz w:val="28"/>
        </w:rPr>
      </w:pPr>
      <w:r>
        <w:rPr>
          <w:sz w:val="28"/>
        </w:rPr>
        <w:tab/>
        <w:t xml:space="preserve">Officials in the U.S. and Japan have acknowledged the onset of recession in their respective countries.  Euroland continues in denial, but economic contraction appears likely at least through the middle of next year.  </w:t>
      </w:r>
    </w:p>
    <w:p>
      <w:pPr>
        <w:pStyle w:val="Normal"/>
        <w:jc w:val="both"/>
        <w:rPr>
          <w:sz w:val="28"/>
        </w:rPr>
      </w:pPr>
      <w:r>
        <w:rPr>
          <w:sz w:val="28"/>
        </w:rPr>
      </w:r>
    </w:p>
    <w:p>
      <w:pPr>
        <w:pStyle w:val="Normal"/>
        <w:jc w:val="both"/>
        <w:rPr>
          <w:sz w:val="28"/>
        </w:rPr>
      </w:pPr>
      <w:r>
        <w:rPr>
          <w:sz w:val="28"/>
        </w:rPr>
        <w:tab/>
        <w:t xml:space="preserve">This is no way to win a war at home or abroad.  Finance ministers must be bolder.  They themselves must become risk-takers and start thinking outside the box.  </w:t>
      </w:r>
    </w:p>
    <w:p>
      <w:pPr>
        <w:pStyle w:val="Normal"/>
        <w:jc w:val="both"/>
        <w:rPr>
          <w:sz w:val="28"/>
        </w:rPr>
      </w:pPr>
      <w:r>
        <w:rPr>
          <w:sz w:val="28"/>
        </w:rPr>
      </w:r>
    </w:p>
    <w:p>
      <w:pPr>
        <w:pStyle w:val="Normal"/>
        <w:jc w:val="both"/>
        <w:rPr/>
      </w:pPr>
      <w:r>
        <w:rPr>
          <w:sz w:val="28"/>
        </w:rPr>
        <w:tab/>
        <w:t xml:space="preserve">As an eternal optimist, I’m always looking for hopeful signs.  A recent story in the </w:t>
      </w:r>
      <w:r>
        <w:rPr>
          <w:i/>
          <w:iCs/>
          <w:sz w:val="28"/>
        </w:rPr>
        <w:t>Financial Times</w:t>
      </w:r>
      <w:r>
        <w:rPr>
          <w:sz w:val="28"/>
        </w:rPr>
        <w:t xml:space="preserve"> quotes Japanese finance minister Masajuro Shiokawa as saying “I would like to carry out drastic tax-cuts to stimulate the economy and I would like to consider taxation to help support small and medium-sized businesses.”  </w:t>
      </w:r>
    </w:p>
    <w:p>
      <w:pPr>
        <w:pStyle w:val="Normal"/>
        <w:jc w:val="both"/>
        <w:rPr>
          <w:sz w:val="28"/>
        </w:rPr>
      </w:pPr>
      <w:r>
        <w:rPr>
          <w:sz w:val="28"/>
        </w:rPr>
      </w:r>
    </w:p>
    <w:p>
      <w:pPr>
        <w:pStyle w:val="Normal"/>
        <w:jc w:val="both"/>
        <w:rPr>
          <w:sz w:val="28"/>
        </w:rPr>
      </w:pPr>
      <w:r>
        <w:rPr>
          <w:sz w:val="28"/>
        </w:rPr>
        <w:tab/>
        <w:t xml:space="preserve">Drastic tax-cuts.  Now there’s an optimistic thought.  A few years ago Japan lowered its top combined federal and local personal tax-rate to 50% from 65%.  The business tax-rate eased to 40% from 46%.  But the Bank of Japan failed to accommodate these pro-growth measures by sufficiently expanding the money supply.  Neither Japan’s economy nor its stock market recovered.  </w:t>
      </w:r>
    </w:p>
    <w:p>
      <w:pPr>
        <w:pStyle w:val="Normal"/>
        <w:jc w:val="both"/>
        <w:rPr>
          <w:sz w:val="28"/>
        </w:rPr>
      </w:pPr>
      <w:r>
        <w:rPr>
          <w:sz w:val="28"/>
        </w:rPr>
      </w:r>
    </w:p>
    <w:p>
      <w:pPr>
        <w:pStyle w:val="Normal"/>
        <w:jc w:val="both"/>
        <w:rPr>
          <w:sz w:val="28"/>
        </w:rPr>
      </w:pPr>
      <w:r>
        <w:rPr>
          <w:sz w:val="28"/>
        </w:rPr>
        <w:tab/>
        <w:t xml:space="preserve">Perhaps now the economically least among us is prepared to put its failures behind and enact a bountiful change in policy.  If so, it would be a timely leadership action.  </w:t>
      </w:r>
    </w:p>
    <w:p>
      <w:pPr>
        <w:pStyle w:val="Normal"/>
        <w:jc w:val="both"/>
        <w:rPr>
          <w:sz w:val="28"/>
        </w:rPr>
      </w:pPr>
      <w:r>
        <w:rPr>
          <w:sz w:val="28"/>
        </w:rPr>
      </w:r>
    </w:p>
    <w:p>
      <w:pPr>
        <w:pStyle w:val="Normal"/>
        <w:jc w:val="both"/>
        <w:rPr>
          <w:sz w:val="28"/>
        </w:rPr>
      </w:pPr>
      <w:r>
        <w:rPr>
          <w:sz w:val="28"/>
        </w:rPr>
        <w:tab/>
        <w:t>Every G-7 nation could be in recovery by the middle of next year if they adopted drastic tax-cuts and other economic freedom enhancing measures such as deregulation and liberalized trade.  But to achieve this the western countries must put aside their pessimistic models of austerity and replace them with optimistic visions of incentive-minded growth.</w:t>
      </w:r>
    </w:p>
    <w:p>
      <w:pPr>
        <w:pStyle w:val="Normal"/>
        <w:jc w:val="both"/>
        <w:rPr>
          <w:sz w:val="28"/>
        </w:rPr>
      </w:pPr>
      <w:r>
        <w:rPr>
          <w:sz w:val="28"/>
        </w:rPr>
      </w:r>
    </w:p>
    <w:p>
      <w:pPr>
        <w:pStyle w:val="Normal"/>
        <w:jc w:val="both"/>
        <w:rPr>
          <w:sz w:val="28"/>
        </w:rPr>
      </w:pPr>
      <w:r>
        <w:rPr>
          <w:sz w:val="28"/>
        </w:rPr>
        <w:tab/>
        <w:t>They must realize that economics is the science and the art of wealth creation.  But it must pay to create wealth.  In today’s changed world, capital formation and entrepreneurship require new rewards that are sufficient to trump new risks.  So finance officials and central bankers must play a completely different hand.  The key bids for world economic recovery now depend on the trump cards of drastic tax-cutting and significant new money-adding.  This economic pivot will handily defeat recession and terrorism.</w:t>
      </w:r>
    </w:p>
    <w:p>
      <w:pPr>
        <w:pStyle w:val="Normal"/>
        <w:rPr>
          <w:sz w:val="28"/>
        </w:rPr>
      </w:pPr>
      <w:r>
        <w:rPr>
          <w:sz w:val="28"/>
        </w:rPr>
      </w:r>
    </w:p>
    <w:p>
      <w:pPr>
        <w:pStyle w:val="Normal"/>
        <w:rPr/>
      </w:pPr>
      <w:r>
        <w:rPr/>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3"/>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NormalWeb">
    <w:name w:val="Normal (Web)"/>
    <w:basedOn w:val="Normal"/>
    <w:qFormat/>
    <w:pPr>
      <w:overflowPunct w:val="true"/>
      <w:autoSpaceDE w:val="true"/>
      <w:spacing w:before="100" w:after="100"/>
      <w:textAlignment w:val="auto"/>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2001-10-29T20:57:00Z</dcterms:created>
  <dc:creator>Susan Varga</dc:creator>
  <dc:description/>
  <dc:language>en-CA</dc:language>
  <cp:lastModifiedBy>svarga</cp:lastModifiedBy>
  <cp:lastPrinted>2001-10-29T18:43:00Z</cp:lastPrinted>
  <dcterms:modified xsi:type="dcterms:W3CDTF">2001-10-29T21:14:00Z</dcterms:modified>
  <cp:revision>8</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