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Guest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Untenable Taxation</w:t>
      </w:r>
    </w:p>
    <w:p>
      <w:pPr>
        <w:pStyle w:val="Heading4"/>
        <w:ind w:hanging="0" w:start="0"/>
        <w:rPr>
          <w:sz w:val="28"/>
        </w:rPr>
      </w:pPr>
      <w:r>
        <w:rPr>
          <w:sz w:val="28"/>
        </w:rPr>
        <w:t>By William P. Kucewicz*</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26,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ing2"/>
        <w:ind w:hanging="0" w:start="0"/>
        <w:jc w:val="both"/>
        <w:rPr>
          <w:b/>
          <w:bCs/>
          <w:i/>
          <w:i/>
          <w:iCs/>
          <w:sz w:val="26"/>
        </w:rPr>
      </w:pPr>
      <w:r>
        <w:rPr>
          <w:b/>
          <w:bCs/>
          <w:i/>
          <w:iCs/>
          <w:sz w:val="26"/>
        </w:rPr>
      </w:r>
    </w:p>
    <w:p>
      <w:pPr>
        <w:pStyle w:val="BodyText"/>
        <w:spacing w:lineRule="auto" w:line="240"/>
        <w:ind w:firstLine="720" w:end="0"/>
        <w:jc w:val="both"/>
        <w:rPr/>
      </w:pPr>
      <w:r>
        <w:rPr/>
        <w:t>The economic stimulus package passed by the House Wednesday is a mixed bag. On the plus side, it would speed up tax write-offs of business equipment purchases, raise the small-business expensing limit, and repeal the corporate alternative minimum tax retroactively to its enactment in 1986. On the minus side, while offering individuals some tax relief, the bill doesn’t go far enough in cutting tax rates on personal income and capital gains.</w:t>
      </w:r>
    </w:p>
    <w:p>
      <w:pPr>
        <w:pStyle w:val="Normal"/>
        <w:jc w:val="both"/>
        <w:rPr>
          <w:sz w:val="28"/>
        </w:rPr>
      </w:pPr>
      <w:r>
        <w:rPr>
          <w:sz w:val="28"/>
        </w:rPr>
      </w:r>
    </w:p>
    <w:p>
      <w:pPr>
        <w:pStyle w:val="Normal"/>
        <w:ind w:firstLine="720" w:end="0"/>
        <w:jc w:val="both"/>
        <w:rPr/>
      </w:pPr>
      <w:r>
        <w:rPr>
          <w:sz w:val="28"/>
        </w:rPr>
        <w:t>The House did vote to cut the current 28% tax rate on middle and upper incomes, trimming it to 25% next year,</w:t>
      </w:r>
      <w:r>
        <w:rPr/>
        <w:t xml:space="preserve"> </w:t>
      </w:r>
      <w:r>
        <w:rPr>
          <w:sz w:val="28"/>
        </w:rPr>
        <w:t>instead of waiting until 2006, as specified by the tax bill signed into law by President Bush in June. The House bill also would award $300 to some 30 million low-income workers who didn't receive rebate checks this year because they paid no income tax</w:t>
      </w:r>
    </w:p>
    <w:p>
      <w:pPr>
        <w:pStyle w:val="Normal"/>
        <w:ind w:firstLine="720" w:end="0"/>
        <w:jc w:val="both"/>
        <w:rPr>
          <w:sz w:val="28"/>
        </w:rPr>
      </w:pPr>
      <w:r>
        <w:rPr>
          <w:sz w:val="28"/>
        </w:rPr>
      </w:r>
    </w:p>
    <w:p>
      <w:pPr>
        <w:pStyle w:val="Normal"/>
        <w:ind w:firstLine="720" w:end="0"/>
        <w:jc w:val="both"/>
        <w:rPr>
          <w:sz w:val="28"/>
        </w:rPr>
      </w:pPr>
      <w:r>
        <w:rPr>
          <w:sz w:val="28"/>
        </w:rPr>
        <w:t xml:space="preserve">Earlier, however, the House Ways and Means Committee had rejected calls to accelerate cuts in the top 36% and 39.6% income-tax rates. It also refused to lower the capital-gains tax to 15% from 20%, preferring to reduce the rate to only 18% on investments held for a year and a day. That cap-gains cut to 18% was approved by the full House Wednesday. </w:t>
      </w:r>
    </w:p>
    <w:p>
      <w:pPr>
        <w:pStyle w:val="Normal"/>
        <w:jc w:val="both"/>
        <w:rPr>
          <w:sz w:val="28"/>
        </w:rPr>
      </w:pPr>
      <w:r>
        <w:rPr>
          <w:sz w:val="28"/>
        </w:rPr>
        <w:tab/>
      </w:r>
    </w:p>
    <w:p>
      <w:pPr>
        <w:pStyle w:val="Normal"/>
        <w:jc w:val="both"/>
        <w:rPr>
          <w:b/>
          <w:i/>
          <w:i/>
          <w:sz w:val="28"/>
        </w:rPr>
      </w:pPr>
      <w:r>
        <w:rPr>
          <w:b/>
          <w:i/>
          <w:sz w:val="28"/>
        </w:rPr>
        <w:t>Tax Receipts Outpace Economic Growth</w:t>
      </w:r>
    </w:p>
    <w:p>
      <w:pPr>
        <w:pStyle w:val="Normal"/>
        <w:jc w:val="both"/>
        <w:rPr>
          <w:b/>
          <w:i/>
          <w:i/>
          <w:sz w:val="28"/>
        </w:rPr>
      </w:pPr>
      <w:r>
        <w:rPr>
          <w:b/>
          <w:i/>
          <w:sz w:val="28"/>
        </w:rPr>
      </w:r>
    </w:p>
    <w:p>
      <w:pPr>
        <w:pStyle w:val="BodyTextIndent"/>
        <w:rPr/>
      </w:pPr>
      <w:r>
        <w:rPr/>
        <w:t>Deeper tax cuts are needed to relieve the uncertainty caused by the Sept. 11 attacks and subsequent anthrax incidents. What’s more, a top-to-bottom revision of the income-tax code – going beyond anything requested thus far by the administration – is required to rectify a serious economic problem that has grown in dimension since passage of the 1993 tax increase.</w:t>
      </w:r>
    </w:p>
    <w:p>
      <w:pPr>
        <w:pStyle w:val="Normal"/>
        <w:ind w:firstLine="720" w:end="0"/>
        <w:jc w:val="both"/>
        <w:rPr>
          <w:sz w:val="28"/>
        </w:rPr>
      </w:pPr>
      <w:r>
        <w:rPr>
          <w:sz w:val="28"/>
        </w:rPr>
      </w:r>
    </w:p>
    <w:p>
      <w:pPr>
        <w:pStyle w:val="Normal"/>
        <w:jc w:val="both"/>
        <w:rPr>
          <w:sz w:val="28"/>
          <w:u w:val="single"/>
        </w:rPr>
      </w:pPr>
      <w:r>
        <w:rPr>
          <w:sz w:val="28"/>
          <w:u w:val="single"/>
        </w:rPr>
        <w:tab/>
        <w:tab/>
        <w:tab/>
        <w:tab/>
        <w:tab/>
        <w:tab/>
        <w:tab/>
        <w:tab/>
        <w:tab/>
        <w:tab/>
        <w:tab/>
        <w:tab/>
        <w:tab/>
      </w:r>
    </w:p>
    <w:p>
      <w:pPr>
        <w:pStyle w:val="Normal"/>
        <w:jc w:val="both"/>
        <w:rPr/>
      </w:pPr>
      <w:r>
        <w:rPr/>
        <w:t xml:space="preserve">*William Kucewicz is editor of GeoInvestor.com and a former editorial board member of </w:t>
      </w:r>
      <w:r>
        <w:rPr>
          <w:i/>
          <w:iCs/>
        </w:rPr>
        <w:t>The Wall Street Journal</w:t>
      </w:r>
      <w:r>
        <w:rPr/>
        <w:t>.</w:t>
      </w:r>
    </w:p>
    <w:p>
      <w:pPr>
        <w:pStyle w:val="BodyTextIndent"/>
        <w:rPr/>
      </w:pPr>
      <w:r>
        <w:rPr/>
      </w:r>
    </w:p>
    <w:p>
      <w:pPr>
        <w:pStyle w:val="BodyTextIndent"/>
        <w:rPr/>
      </w:pPr>
      <w:r>
        <w:rPr/>
        <w:t>Federal tax payments by individuals have been growing faster than the economy for the better part of a decade. That’s an untenable relationship for it means that taxation is taking too much earned income to permit continued strong private-sector spending and investment. What’s more, one-seventh of the nation’s households are paying almost three-quarters of all federal income taxes. The disproportionate growth in federal taxes relative to the economy, along with its concentrated burden on upper income households, has been a major cause of this year’s economic contraction.</w:t>
      </w:r>
    </w:p>
    <w:p>
      <w:pPr>
        <w:pStyle w:val="BodyTextIndent"/>
        <w:rPr/>
      </w:pPr>
      <w:r>
        <w:rPr/>
      </w:r>
    </w:p>
    <w:p>
      <w:pPr>
        <w:pStyle w:val="Normal"/>
        <w:ind w:firstLine="720" w:end="0"/>
        <w:jc w:val="both"/>
        <w:rPr/>
      </w:pPr>
      <w:r>
        <w:rPr>
          <w:sz w:val="28"/>
        </w:rPr>
        <w:t xml:space="preserve">Nominal GDP has risen 53% since the 1993 third quarter, while individual income-tax payments have soared 110% </w:t>
      </w:r>
      <w:r>
        <w:rPr/>
        <w:t xml:space="preserve">– </w:t>
      </w:r>
      <w:r>
        <w:rPr>
          <w:sz w:val="28"/>
        </w:rPr>
        <w:t>more than doubling from $510 billion to an estimated $1.073 trillion. By comparison, corporate income taxes have risen 81%, and Social Security and other retirement payments have increased 61%. Individual income taxes now supply more than 50% of total federal revenue (versus 44% in 1993). Corporate income taxes account for 10% of federal receipts (little changed from 1993), and retirement payments contribute 32% (versus 37%).</w:t>
      </w:r>
    </w:p>
    <w:p>
      <w:pPr>
        <w:pStyle w:val="Normal"/>
        <w:ind w:firstLine="720" w:end="0"/>
        <w:jc w:val="both"/>
        <w:rPr>
          <w:sz w:val="28"/>
        </w:rPr>
      </w:pPr>
      <w:r>
        <w:rPr>
          <w:sz w:val="28"/>
        </w:rPr>
      </w:r>
    </w:p>
    <w:p>
      <w:pPr>
        <w:pStyle w:val="Normal"/>
        <w:ind w:firstLine="720" w:end="0"/>
        <w:jc w:val="both"/>
        <w:rPr/>
      </w:pPr>
      <w:r>
        <w:object w:dxaOrig="9540" w:dyaOrig="55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5.4pt;width:428.4pt;height:247.9pt;mso-wrap-distance-left:9.05pt;mso-wrap-distance-right:9.05pt;mso-position-horizontal-relative:text;mso-position-vertical-relative:text" filled="f" o:ole="">
            <v:imagedata r:id="rId3" o:title=""/>
            <w10:wrap type="topAndBottom"/>
          </v:shape>
          <o:OLEObject Type="Embed" ProgID="" ShapeID="ole_rId2" DrawAspect="Content" ObjectID="_606092133" r:id="rId2"/>
        </w:object>
      </w:r>
      <w:r>
        <w:rPr>
          <w:sz w:val="16"/>
        </w:rPr>
        <w:t xml:space="preserve">Chart Source: </w:t>
      </w:r>
      <w:hyperlink r:id="rId4">
        <w:r>
          <w:rPr>
            <w:rStyle w:val="Hyperlink"/>
            <w:rFonts w:cs="Arial" w:ascii="Arial" w:hAnsi="Arial"/>
            <w:sz w:val="16"/>
          </w:rPr>
          <w:t>EcoWin</w:t>
        </w:r>
      </w:hyperlink>
      <w:r>
        <w:rPr>
          <w:sz w:val="16"/>
        </w:rPr>
        <w:t>; Data Source: U.S. Bureau of Labor Statistics</w:t>
      </w:r>
    </w:p>
    <w:p>
      <w:pPr>
        <w:pStyle w:val="Normal"/>
        <w:ind w:firstLine="720" w:end="0"/>
        <w:jc w:val="both"/>
        <w:rPr>
          <w:sz w:val="28"/>
        </w:rPr>
      </w:pPr>
      <w:r>
        <w:rPr>
          <w:sz w:val="28"/>
        </w:rPr>
      </w:r>
    </w:p>
    <w:p>
      <w:pPr>
        <w:pStyle w:val="Normal"/>
        <w:ind w:firstLine="720" w:end="0"/>
        <w:jc w:val="both"/>
        <w:rPr>
          <w:sz w:val="28"/>
        </w:rPr>
      </w:pPr>
      <w:r>
        <w:rPr>
          <w:sz w:val="28"/>
        </w:rPr>
        <w:t>Since the Clinton tax increase, individual income taxes (excluding Social Security) have climbed from 7.8% of GDP to more than 10%. That’s the highest rate in U.S. history. Following the Reagan tax cuts of the early 1980s, federal income taxes paid by individuals in fiscal 1984 fell to 7.8% of GDP and then stayed within a relatively narrow range of approximately 7.6% to 8.5% of GDP until the 1993 take hike.</w:t>
      </w:r>
    </w:p>
    <w:p>
      <w:pPr>
        <w:pStyle w:val="Normal"/>
        <w:ind w:firstLine="720" w:end="0"/>
        <w:jc w:val="both"/>
        <w:rPr>
          <w:sz w:val="28"/>
        </w:rPr>
      </w:pPr>
      <w:r>
        <w:rPr>
          <w:sz w:val="28"/>
        </w:rPr>
      </w:r>
    </w:p>
    <w:p>
      <w:pPr>
        <w:pStyle w:val="Normal"/>
        <w:ind w:firstLine="720" w:end="0"/>
        <w:jc w:val="both"/>
        <w:rPr>
          <w:sz w:val="28"/>
        </w:rPr>
      </w:pPr>
      <w:r>
        <w:rPr>
          <w:sz w:val="28"/>
        </w:rPr>
        <w:t>At first blush, higher employment would appear to be the determining factor behind the rise in income-tax receipts. In the Clinton years, non-farm payrolls rose 21%, and the employment ratio (civilian employment as a percentage of the non-institutionalized working-aged population) hit an all-time high of nearly 65%. A comparison with the Reagan era, however, tells a different story.</w:t>
      </w:r>
    </w:p>
    <w:p>
      <w:pPr>
        <w:pStyle w:val="Normal"/>
        <w:ind w:firstLine="720" w:end="0"/>
        <w:jc w:val="both"/>
        <w:rPr>
          <w:sz w:val="28"/>
        </w:rPr>
      </w:pPr>
      <w:r>
        <w:rPr>
          <w:sz w:val="28"/>
        </w:rPr>
      </w:r>
    </w:p>
    <w:p>
      <w:pPr>
        <w:pStyle w:val="Normal"/>
        <w:ind w:firstLine="720" w:end="0"/>
        <w:jc w:val="both"/>
        <w:rPr/>
      </w:pPr>
      <w:r>
        <w:rPr>
          <w:sz w:val="28"/>
        </w:rPr>
        <w:t xml:space="preserve">During the Reagan administration, non-farm jobs rose 18% </w:t>
      </w:r>
      <w:r>
        <w:rPr/>
        <w:t xml:space="preserve">– </w:t>
      </w:r>
      <w:r>
        <w:rPr>
          <w:sz w:val="28"/>
        </w:rPr>
        <w:t>nearly as much in the Clinton years. The employment ratio, which hit a low of 53% in the first quarter of 1983, was at a then-record 63% when Ronald Reagan left office. But, as the nearby chart makes clear, income-tax receipts responded very differently in the Reagan and Clinton eras, with revenues remaining fairly flat in the 1980s and soaring in the 1990s as a percentage of GDP. Factors other than payrolls therefore must have been at work in boosting tax receipts since the early 1990s.</w:t>
      </w:r>
    </w:p>
    <w:p>
      <w:pPr>
        <w:pStyle w:val="Normal"/>
        <w:ind w:firstLine="720" w:end="0"/>
        <w:jc w:val="both"/>
        <w:rPr>
          <w:sz w:val="28"/>
        </w:rPr>
      </w:pPr>
      <w:r>
        <w:rPr>
          <w:sz w:val="28"/>
        </w:rPr>
        <w:object w:dxaOrig="9540" w:dyaOrig="552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3.6pt;margin-top:21.5pt;width:435.6pt;height:252.05pt;mso-wrap-distance-left:9.05pt;mso-wrap-distance-right:9.05pt;mso-position-horizontal-relative:text;mso-position-vertical-relative:text" filled="f" o:ole="">
            <v:imagedata r:id="rId6" o:title=""/>
            <w10:wrap type="topAndBottom"/>
          </v:shape>
          <o:OLEObject Type="Embed" ProgID="" ShapeID="ole_rId5" DrawAspect="Content" ObjectID="_819989914" r:id="rId5"/>
        </w:object>
      </w:r>
    </w:p>
    <w:p>
      <w:pPr>
        <w:pStyle w:val="Normal"/>
        <w:ind w:firstLine="720" w:end="0"/>
        <w:jc w:val="both"/>
        <w:rPr/>
      </w:pPr>
      <w:r>
        <w:rPr>
          <w:sz w:val="16"/>
        </w:rPr>
        <w:t xml:space="preserve">Chart Source: </w:t>
      </w:r>
      <w:hyperlink r:id="rId7">
        <w:r>
          <w:rPr>
            <w:rStyle w:val="Hyperlink"/>
            <w:rFonts w:cs="Arial" w:ascii="Arial" w:hAnsi="Arial"/>
            <w:sz w:val="16"/>
          </w:rPr>
          <w:t>EcoWin</w:t>
        </w:r>
      </w:hyperlink>
      <w:r>
        <w:rPr>
          <w:sz w:val="16"/>
        </w:rPr>
        <w:t>; Data Source: U.S. Bureau of Labor Statistics</w:t>
      </w:r>
    </w:p>
    <w:p>
      <w:pPr>
        <w:pStyle w:val="Normal"/>
        <w:ind w:firstLine="720" w:end="0"/>
        <w:jc w:val="both"/>
        <w:rPr>
          <w:sz w:val="28"/>
        </w:rPr>
      </w:pPr>
      <w:r>
        <w:rPr>
          <w:sz w:val="28"/>
        </w:rPr>
      </w:r>
    </w:p>
    <w:p>
      <w:pPr>
        <w:pStyle w:val="BodyTextIndent"/>
        <w:rPr/>
      </w:pPr>
      <w:r>
        <w:rPr/>
        <w:t>It’s worth noting that the negative effects on disposable income of both taxation and inflation have heightened the need for many households to earn two incomes. Tax brackets have, of course, been indexed for inflation since the Reagan years. But indexation’s introduction failed to take into account the hyperinflation of the 1970s and its lasting effect on earners, who saw their real wages plummet. Suffice it to say that real earnings averaged $7.96 an hour in August of this year. That was 8% below the high of $8.63 set in October 1972. Amazingly, August’s real average hourly earnings were exactly the same as those recorded in December 1968.</w:t>
      </w:r>
    </w:p>
    <w:p>
      <w:pPr>
        <w:pStyle w:val="Normal"/>
        <w:ind w:firstLine="720" w:end="0"/>
        <w:jc w:val="both"/>
        <w:rPr>
          <w:sz w:val="28"/>
        </w:rPr>
      </w:pPr>
      <w:r>
        <w:rPr>
          <w:sz w:val="28"/>
        </w:rPr>
      </w:r>
    </w:p>
    <w:p>
      <w:pPr>
        <w:pStyle w:val="Normal"/>
        <w:ind w:firstLine="720" w:end="0"/>
        <w:jc w:val="both"/>
        <w:rPr>
          <w:sz w:val="28"/>
        </w:rPr>
      </w:pPr>
      <w:r>
        <w:rPr>
          <w:sz w:val="28"/>
        </w:rPr>
        <w:t>Indexation may have averted bracket creep among workers receiving pay increases at or slightly above the inflation rate. However, this ignores a significant development. In recent years, there has been a tremendous rise in earnings among households with upper-middle to upper incomes – and an even larger increase in the amount of income taxes they paid to Washington. This shifted a goodly portion of the tax burden away from those earning less than $75,000 a year toward taxpayers with incomes of $100,000 or more. The result: As Americans got richer, the government got richer still.</w:t>
      </w:r>
    </w:p>
    <w:p>
      <w:pPr>
        <w:pStyle w:val="Normal"/>
        <w:ind w:firstLine="720" w:end="0"/>
        <w:jc w:val="both"/>
        <w:rPr>
          <w:sz w:val="28"/>
        </w:rPr>
      </w:pPr>
      <w:r>
        <w:rPr>
          <w:sz w:val="28"/>
        </w:rPr>
      </w:r>
    </w:p>
    <w:tbl>
      <w:tblPr>
        <w:tblW w:w="8770" w:type="dxa"/>
        <w:jc w:val="start"/>
        <w:tblInd w:w="0" w:type="dxa"/>
        <w:tblLayout w:type="fixed"/>
        <w:tblCellMar>
          <w:top w:w="0" w:type="dxa"/>
          <w:start w:w="30" w:type="dxa"/>
          <w:bottom w:w="0" w:type="dxa"/>
          <w:end w:w="30" w:type="dxa"/>
        </w:tblCellMar>
      </w:tblPr>
      <w:tblGrid>
        <w:gridCol w:w="1798"/>
        <w:gridCol w:w="914"/>
        <w:gridCol w:w="931"/>
        <w:gridCol w:w="931"/>
        <w:gridCol w:w="711"/>
        <w:gridCol w:w="679"/>
        <w:gridCol w:w="694"/>
        <w:gridCol w:w="756"/>
        <w:gridCol w:w="662"/>
        <w:gridCol w:w="694"/>
      </w:tblGrid>
      <w:tr>
        <w:trPr>
          <w:trHeight w:val="247" w:hRule="atLeast"/>
        </w:trPr>
        <w:tc>
          <w:tcPr>
            <w:tcW w:w="1798" w:type="dxa"/>
            <w:tcBorders>
              <w:top w:val="double" w:sz="6" w:space="0" w:color="000000"/>
              <w:start w:val="double" w:sz="6" w:space="0" w:color="FFFFFF"/>
              <w:bottom w:val="doub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2776" w:type="dxa"/>
            <w:gridSpan w:val="3"/>
            <w:tcBorders>
              <w:top w:val="double" w:sz="6" w:space="0" w:color="000000"/>
              <w:start w:val="dashSmallGap" w:sz="8" w:space="0" w:color="000000"/>
              <w:bottom w:val="double" w:sz="6" w:space="0" w:color="FFFFFF"/>
              <w:end w:val="single" w:sz="6" w:space="0" w:color="FFFFFF"/>
            </w:tcBorders>
          </w:tcPr>
          <w:p>
            <w:pPr>
              <w:pStyle w:val="Normal"/>
              <w:snapToGrid w:val="false"/>
              <w:jc w:val="center"/>
              <w:rPr>
                <w:rFonts w:ascii="Arial" w:hAnsi="Arial" w:cs="Arial"/>
                <w:color w:val="000000"/>
                <w:sz w:val="18"/>
              </w:rPr>
            </w:pPr>
            <w:r>
              <w:rPr>
                <w:rFonts w:cs="Arial" w:ascii="Arial" w:hAnsi="Arial"/>
                <w:color w:val="000000"/>
                <w:sz w:val="18"/>
              </w:rPr>
            </w:r>
          </w:p>
        </w:tc>
        <w:tc>
          <w:tcPr>
            <w:tcW w:w="1390" w:type="dxa"/>
            <w:gridSpan w:val="2"/>
            <w:tcBorders>
              <w:top w:val="double" w:sz="6" w:space="0" w:color="000000"/>
              <w:start w:val="dashSmallGap" w:sz="8" w:space="0" w:color="000000"/>
              <w:bottom w:val="double" w:sz="6" w:space="0" w:color="FFFFFF"/>
              <w:end w:val="single" w:sz="6" w:space="0" w:color="FFFFFF"/>
            </w:tcBorders>
          </w:tcPr>
          <w:p>
            <w:pPr>
              <w:pStyle w:val="Normal"/>
              <w:snapToGrid w:val="false"/>
              <w:jc w:val="center"/>
              <w:rPr>
                <w:rFonts w:ascii="Arial" w:hAnsi="Arial" w:cs="Arial"/>
                <w:color w:val="000000"/>
                <w:sz w:val="18"/>
              </w:rPr>
            </w:pPr>
            <w:r>
              <w:rPr>
                <w:rFonts w:cs="Arial" w:ascii="Arial" w:hAnsi="Arial"/>
                <w:color w:val="000000"/>
                <w:sz w:val="18"/>
              </w:rPr>
            </w:r>
          </w:p>
        </w:tc>
        <w:tc>
          <w:tcPr>
            <w:tcW w:w="1450" w:type="dxa"/>
            <w:gridSpan w:val="2"/>
            <w:tcBorders>
              <w:top w:val="double" w:sz="6" w:space="0" w:color="000000"/>
              <w:bottom w:val="double" w:sz="6" w:space="0" w:color="FFFFFF"/>
              <w:end w:val="single" w:sz="6" w:space="0" w:color="FFFFFF"/>
            </w:tcBorders>
          </w:tcPr>
          <w:p>
            <w:pPr>
              <w:pStyle w:val="Normal"/>
              <w:snapToGrid w:val="false"/>
              <w:jc w:val="center"/>
              <w:rPr>
                <w:rFonts w:ascii="Arial" w:hAnsi="Arial" w:cs="Arial"/>
                <w:color w:val="000000"/>
                <w:sz w:val="18"/>
              </w:rPr>
            </w:pPr>
            <w:r>
              <w:rPr>
                <w:rFonts w:cs="Arial" w:ascii="Arial" w:hAnsi="Arial"/>
                <w:color w:val="000000"/>
                <w:sz w:val="18"/>
              </w:rPr>
            </w:r>
          </w:p>
        </w:tc>
        <w:tc>
          <w:tcPr>
            <w:tcW w:w="1356" w:type="dxa"/>
            <w:gridSpan w:val="2"/>
            <w:tcBorders>
              <w:top w:val="double" w:sz="6" w:space="0" w:color="000000"/>
              <w:start w:val="dashSmallGap" w:sz="8" w:space="0" w:color="000000"/>
              <w:bottom w:val="double" w:sz="6" w:space="0" w:color="FFFFFF"/>
              <w:end w:val="single" w:sz="6" w:space="0" w:color="FFFFFF"/>
            </w:tcBorders>
          </w:tcPr>
          <w:p>
            <w:pPr>
              <w:pStyle w:val="Normal"/>
              <w:snapToGrid w:val="false"/>
              <w:jc w:val="center"/>
              <w:rPr>
                <w:rFonts w:ascii="Arial" w:hAnsi="Arial" w:cs="Arial"/>
                <w:color w:val="000000"/>
                <w:sz w:val="18"/>
              </w:rPr>
            </w:pPr>
            <w:r>
              <w:rPr>
                <w:rFonts w:cs="Arial" w:ascii="Arial" w:hAnsi="Arial"/>
                <w:color w:val="000000"/>
                <w:sz w:val="18"/>
              </w:rPr>
            </w:r>
          </w:p>
        </w:tc>
      </w:tr>
      <w:tr>
        <w:trPr>
          <w:trHeight w:val="247" w:hRule="atLeast"/>
        </w:trPr>
        <w:tc>
          <w:tcPr>
            <w:tcW w:w="1798" w:type="dxa"/>
            <w:tcBorders>
              <w:start w:val="double" w:sz="6" w:space="0" w:color="FFFFFF"/>
              <w:bottom w:val="single" w:sz="6" w:space="0" w:color="FFFFFF"/>
            </w:tcBorders>
          </w:tcPr>
          <w:p>
            <w:pPr>
              <w:pStyle w:val="Normal"/>
              <w:snapToGrid w:val="false"/>
              <w:jc w:val="end"/>
              <w:rPr>
                <w:rFonts w:ascii="Arial" w:hAnsi="Arial" w:cs="Arial"/>
                <w:b/>
                <w:color w:val="000000"/>
                <w:sz w:val="18"/>
              </w:rPr>
            </w:pPr>
            <w:r>
              <w:rPr>
                <w:rFonts w:cs="Arial" w:ascii="Arial" w:hAnsi="Arial"/>
                <w:b/>
                <w:color w:val="000000"/>
                <w:sz w:val="18"/>
              </w:rPr>
            </w:r>
          </w:p>
        </w:tc>
        <w:tc>
          <w:tcPr>
            <w:tcW w:w="2776" w:type="dxa"/>
            <w:gridSpan w:val="3"/>
            <w:tcBorders>
              <w:start w:val="dashSmallGap" w:sz="8" w:space="0" w:color="000000"/>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Percentage Change 1993-99</w:t>
            </w:r>
          </w:p>
        </w:tc>
        <w:tc>
          <w:tcPr>
            <w:tcW w:w="1390" w:type="dxa"/>
            <w:gridSpan w:val="2"/>
            <w:tcBorders>
              <w:start w:val="dashSmallGap" w:sz="8" w:space="0" w:color="000000"/>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 xml:space="preserve">Percentage of </w:t>
            </w:r>
          </w:p>
        </w:tc>
        <w:tc>
          <w:tcPr>
            <w:tcW w:w="1450" w:type="dxa"/>
            <w:gridSpan w:val="2"/>
            <w:tcBorders>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 xml:space="preserve">Percentage of </w:t>
            </w:r>
          </w:p>
        </w:tc>
        <w:tc>
          <w:tcPr>
            <w:tcW w:w="1356" w:type="dxa"/>
            <w:gridSpan w:val="2"/>
            <w:tcBorders>
              <w:start w:val="dashSmallGap" w:sz="8" w:space="0" w:color="000000"/>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Percentage of</w:t>
            </w:r>
          </w:p>
        </w:tc>
      </w:tr>
      <w:tr>
        <w:trPr>
          <w:trHeight w:val="233" w:hRule="atLeast"/>
        </w:trPr>
        <w:tc>
          <w:tcPr>
            <w:tcW w:w="1798" w:type="dxa"/>
            <w:tcBorders>
              <w:start w:val="double" w:sz="6" w:space="0" w:color="FFFFFF"/>
              <w:bottom w:val="single" w:sz="6" w:space="0" w:color="FFFFFF"/>
            </w:tcBorders>
          </w:tcPr>
          <w:p>
            <w:pPr>
              <w:pStyle w:val="Normal"/>
              <w:rPr>
                <w:rFonts w:ascii="Arial" w:hAnsi="Arial" w:cs="Arial"/>
                <w:b/>
                <w:color w:val="000000"/>
                <w:sz w:val="18"/>
              </w:rPr>
            </w:pPr>
            <w:r>
              <w:rPr>
                <w:rFonts w:cs="Arial" w:ascii="Arial" w:hAnsi="Arial"/>
                <w:b/>
                <w:color w:val="000000"/>
                <w:sz w:val="18"/>
              </w:rPr>
              <w:t>Adjusted Gross</w:t>
            </w:r>
          </w:p>
        </w:tc>
        <w:tc>
          <w:tcPr>
            <w:tcW w:w="914" w:type="dxa"/>
            <w:tcBorders>
              <w:top w:val="single" w:sz="6" w:space="0" w:color="FFFFFF"/>
              <w:start w:val="dashSmallGap" w:sz="8" w:space="0" w:color="000000"/>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No. of</w:t>
            </w:r>
          </w:p>
        </w:tc>
        <w:tc>
          <w:tcPr>
            <w:tcW w:w="931" w:type="dxa"/>
            <w:tcBorders>
              <w:start w:val="single" w:sz="6" w:space="0" w:color="FFFFFF"/>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Taxable</w:t>
            </w:r>
          </w:p>
        </w:tc>
        <w:tc>
          <w:tcPr>
            <w:tcW w:w="931" w:type="dxa"/>
            <w:tcBorders>
              <w:start w:val="single" w:sz="6" w:space="0" w:color="FFFFFF"/>
              <w:bottom w:val="single" w:sz="6" w:space="0" w:color="FFFFFF"/>
            </w:tcBorders>
          </w:tcPr>
          <w:p>
            <w:pPr>
              <w:pStyle w:val="Normal"/>
              <w:jc w:val="center"/>
              <w:rPr>
                <w:rFonts w:ascii="Arial" w:hAnsi="Arial" w:cs="Arial"/>
                <w:b/>
                <w:color w:val="000000"/>
                <w:sz w:val="18"/>
              </w:rPr>
            </w:pPr>
            <w:r>
              <w:rPr>
                <w:rFonts w:cs="Arial" w:ascii="Arial" w:hAnsi="Arial"/>
                <w:b/>
                <w:color w:val="000000"/>
                <w:sz w:val="18"/>
              </w:rPr>
              <w:t>Income</w:t>
            </w:r>
          </w:p>
        </w:tc>
        <w:tc>
          <w:tcPr>
            <w:tcW w:w="1390" w:type="dxa"/>
            <w:gridSpan w:val="2"/>
            <w:tcBorders>
              <w:top w:val="single" w:sz="6" w:space="0" w:color="FFFFFF"/>
              <w:start w:val="dashSmallGap" w:sz="8" w:space="0" w:color="000000"/>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All Returns</w:t>
            </w:r>
          </w:p>
        </w:tc>
        <w:tc>
          <w:tcPr>
            <w:tcW w:w="1450" w:type="dxa"/>
            <w:gridSpan w:val="2"/>
            <w:tcBorders>
              <w:bottom w:val="single" w:sz="6" w:space="0" w:color="FFFFFF"/>
              <w:end w:val="single" w:sz="6" w:space="0" w:color="FFFFFF"/>
            </w:tcBorders>
          </w:tcPr>
          <w:p>
            <w:pPr>
              <w:pStyle w:val="Normal"/>
              <w:jc w:val="center"/>
              <w:rPr>
                <w:rFonts w:ascii="Arial" w:hAnsi="Arial" w:cs="Arial"/>
                <w:b/>
                <w:color w:val="000000"/>
                <w:sz w:val="18"/>
              </w:rPr>
            </w:pPr>
            <w:r>
              <w:rPr>
                <w:rFonts w:eastAsia="Arial" w:cs="Arial" w:ascii="Arial" w:hAnsi="Arial"/>
                <w:b/>
                <w:color w:val="000000"/>
                <w:sz w:val="18"/>
              </w:rPr>
              <w:t xml:space="preserve"> </w:t>
            </w:r>
            <w:r>
              <w:rPr>
                <w:rFonts w:cs="Arial" w:ascii="Arial" w:hAnsi="Arial"/>
                <w:b/>
                <w:color w:val="000000"/>
                <w:sz w:val="18"/>
              </w:rPr>
              <w:t>All Taxable Inc.</w:t>
            </w:r>
          </w:p>
        </w:tc>
        <w:tc>
          <w:tcPr>
            <w:tcW w:w="1356" w:type="dxa"/>
            <w:gridSpan w:val="2"/>
            <w:tcBorders>
              <w:top w:val="single" w:sz="6" w:space="0" w:color="FFFFFF"/>
              <w:start w:val="dashSmallGap" w:sz="8" w:space="0" w:color="000000"/>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Total Inc. Tax</w:t>
            </w:r>
          </w:p>
        </w:tc>
      </w:tr>
      <w:tr>
        <w:trPr>
          <w:trHeight w:val="233" w:hRule="atLeast"/>
        </w:trPr>
        <w:tc>
          <w:tcPr>
            <w:tcW w:w="1798" w:type="dxa"/>
            <w:tcBorders>
              <w:top w:val="single" w:sz="6" w:space="0" w:color="FFFFFF"/>
              <w:start w:val="double" w:sz="6" w:space="0" w:color="FFFFFF"/>
              <w:bottom w:val="single" w:sz="6" w:space="0" w:color="FFFFFF"/>
            </w:tcBorders>
          </w:tcPr>
          <w:p>
            <w:pPr>
              <w:pStyle w:val="Normal"/>
              <w:rPr>
                <w:rFonts w:ascii="Arial" w:hAnsi="Arial" w:cs="Arial"/>
                <w:b/>
                <w:color w:val="000000"/>
                <w:sz w:val="18"/>
              </w:rPr>
            </w:pPr>
            <w:r>
              <w:rPr>
                <w:rFonts w:cs="Arial" w:ascii="Arial" w:hAnsi="Arial"/>
                <w:b/>
                <w:color w:val="000000"/>
                <w:sz w:val="18"/>
              </w:rPr>
              <w:t>Income</w:t>
            </w:r>
          </w:p>
        </w:tc>
        <w:tc>
          <w:tcPr>
            <w:tcW w:w="914" w:type="dxa"/>
            <w:tcBorders>
              <w:top w:val="single" w:sz="6" w:space="0" w:color="FFFFFF"/>
              <w:start w:val="dashSmallGap" w:sz="8" w:space="0" w:color="000000"/>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Returns</w:t>
            </w:r>
          </w:p>
        </w:tc>
        <w:tc>
          <w:tcPr>
            <w:tcW w:w="931" w:type="dxa"/>
            <w:tcBorders>
              <w:top w:val="single" w:sz="6" w:space="0" w:color="FFFFFF"/>
              <w:start w:val="single" w:sz="6" w:space="0" w:color="FFFFFF"/>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Income</w:t>
            </w:r>
          </w:p>
        </w:tc>
        <w:tc>
          <w:tcPr>
            <w:tcW w:w="931" w:type="dxa"/>
            <w:tcBorders>
              <w:top w:val="single" w:sz="6" w:space="0" w:color="FFFFFF"/>
              <w:start w:val="single" w:sz="6" w:space="0" w:color="FFFFFF"/>
              <w:bottom w:val="single" w:sz="6" w:space="0" w:color="FFFFFF"/>
            </w:tcBorders>
          </w:tcPr>
          <w:p>
            <w:pPr>
              <w:pStyle w:val="Normal"/>
              <w:jc w:val="center"/>
              <w:rPr>
                <w:rFonts w:ascii="Arial" w:hAnsi="Arial" w:cs="Arial"/>
                <w:b/>
                <w:color w:val="000000"/>
                <w:sz w:val="18"/>
              </w:rPr>
            </w:pPr>
            <w:r>
              <w:rPr>
                <w:rFonts w:cs="Arial" w:ascii="Arial" w:hAnsi="Arial"/>
                <w:b/>
                <w:color w:val="000000"/>
                <w:sz w:val="18"/>
              </w:rPr>
              <w:t>Tax</w:t>
            </w:r>
          </w:p>
        </w:tc>
        <w:tc>
          <w:tcPr>
            <w:tcW w:w="711" w:type="dxa"/>
            <w:tcBorders>
              <w:top w:val="single" w:sz="6" w:space="0" w:color="FFFFFF"/>
              <w:start w:val="dashSmallGap" w:sz="8" w:space="0" w:color="000000"/>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1993</w:t>
            </w:r>
          </w:p>
        </w:tc>
        <w:tc>
          <w:tcPr>
            <w:tcW w:w="679" w:type="dxa"/>
            <w:tcBorders>
              <w:top w:val="single" w:sz="6" w:space="0" w:color="FFFFFF"/>
              <w:start w:val="single" w:sz="6" w:space="0" w:color="FFFFFF"/>
              <w:bottom w:val="single" w:sz="6" w:space="0" w:color="FFFFFF"/>
              <w:end w:val="dashSmallGap" w:sz="8" w:space="0" w:color="000000"/>
            </w:tcBorders>
          </w:tcPr>
          <w:p>
            <w:pPr>
              <w:pStyle w:val="Normal"/>
              <w:jc w:val="center"/>
              <w:rPr>
                <w:rFonts w:ascii="Arial" w:hAnsi="Arial" w:cs="Arial"/>
                <w:b/>
                <w:color w:val="000000"/>
                <w:sz w:val="18"/>
              </w:rPr>
            </w:pPr>
            <w:r>
              <w:rPr>
                <w:rFonts w:cs="Arial" w:ascii="Arial" w:hAnsi="Arial"/>
                <w:b/>
                <w:color w:val="000000"/>
                <w:sz w:val="18"/>
              </w:rPr>
              <w:t>1999</w:t>
            </w:r>
          </w:p>
        </w:tc>
        <w:tc>
          <w:tcPr>
            <w:tcW w:w="694" w:type="dxa"/>
            <w:tcBorders>
              <w:top w:val="single" w:sz="6" w:space="0" w:color="FFFFFF"/>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1993</w:t>
            </w:r>
          </w:p>
        </w:tc>
        <w:tc>
          <w:tcPr>
            <w:tcW w:w="756" w:type="dxa"/>
            <w:tcBorders>
              <w:top w:val="single" w:sz="6" w:space="0" w:color="FFFFFF"/>
              <w:start w:val="single" w:sz="6" w:space="0" w:color="FFFFFF"/>
              <w:bottom w:val="single" w:sz="6" w:space="0" w:color="FFFFFF"/>
            </w:tcBorders>
          </w:tcPr>
          <w:p>
            <w:pPr>
              <w:pStyle w:val="Normal"/>
              <w:jc w:val="center"/>
              <w:rPr>
                <w:rFonts w:ascii="Arial" w:hAnsi="Arial" w:cs="Arial"/>
                <w:b/>
                <w:color w:val="000000"/>
                <w:sz w:val="18"/>
              </w:rPr>
            </w:pPr>
            <w:r>
              <w:rPr>
                <w:rFonts w:cs="Arial" w:ascii="Arial" w:hAnsi="Arial"/>
                <w:b/>
                <w:color w:val="000000"/>
                <w:sz w:val="18"/>
              </w:rPr>
              <w:t>1999</w:t>
            </w:r>
          </w:p>
        </w:tc>
        <w:tc>
          <w:tcPr>
            <w:tcW w:w="662" w:type="dxa"/>
            <w:tcBorders>
              <w:top w:val="single" w:sz="6" w:space="0" w:color="FFFFFF"/>
              <w:start w:val="dashSmallGap" w:sz="8" w:space="0" w:color="000000"/>
              <w:bottom w:val="single" w:sz="6" w:space="0" w:color="FFFFFF"/>
              <w:end w:val="single" w:sz="6" w:space="0" w:color="FFFFFF"/>
            </w:tcBorders>
          </w:tcPr>
          <w:p>
            <w:pPr>
              <w:pStyle w:val="Normal"/>
              <w:jc w:val="center"/>
              <w:rPr>
                <w:rFonts w:ascii="Arial" w:hAnsi="Arial" w:cs="Arial"/>
                <w:b/>
                <w:color w:val="000000"/>
                <w:sz w:val="18"/>
              </w:rPr>
            </w:pPr>
            <w:r>
              <w:rPr>
                <w:rFonts w:cs="Arial" w:ascii="Arial" w:hAnsi="Arial"/>
                <w:b/>
                <w:color w:val="000000"/>
                <w:sz w:val="18"/>
              </w:rPr>
              <w:t>1993</w:t>
            </w:r>
          </w:p>
        </w:tc>
        <w:tc>
          <w:tcPr>
            <w:tcW w:w="694" w:type="dxa"/>
            <w:tcBorders>
              <w:top w:val="single" w:sz="6" w:space="0" w:color="FFFFFF"/>
              <w:start w:val="single" w:sz="6" w:space="0" w:color="FFFFFF"/>
              <w:bottom w:val="single" w:sz="6" w:space="0" w:color="FFFFFF"/>
              <w:end w:val="double" w:sz="6" w:space="0" w:color="FFFFFF"/>
            </w:tcBorders>
          </w:tcPr>
          <w:p>
            <w:pPr>
              <w:pStyle w:val="Normal"/>
              <w:jc w:val="center"/>
              <w:rPr>
                <w:rFonts w:ascii="Arial" w:hAnsi="Arial" w:cs="Arial"/>
                <w:b/>
                <w:color w:val="000000"/>
                <w:sz w:val="18"/>
              </w:rPr>
            </w:pPr>
            <w:r>
              <w:rPr>
                <w:rFonts w:cs="Arial" w:ascii="Arial" w:hAnsi="Arial"/>
                <w:b/>
                <w:color w:val="000000"/>
                <w:sz w:val="18"/>
              </w:rPr>
              <w:t>1999</w:t>
            </w:r>
          </w:p>
        </w:tc>
      </w:tr>
      <w:tr>
        <w:trPr>
          <w:trHeight w:val="233" w:hRule="atLeast"/>
        </w:trPr>
        <w:tc>
          <w:tcPr>
            <w:tcW w:w="1798" w:type="dxa"/>
            <w:tcBorders>
              <w:top w:val="single" w:sz="6" w:space="0" w:color="FFFFFF"/>
              <w:start w:val="double" w:sz="6" w:space="0" w:color="FFFFFF"/>
              <w:bottom w:val="single" w:sz="6" w:space="0" w:color="FFFFFF"/>
            </w:tcBorders>
          </w:tcPr>
          <w:p>
            <w:pPr>
              <w:pStyle w:val="Normal"/>
              <w:snapToGrid w:val="false"/>
              <w:jc w:val="end"/>
              <w:rPr>
                <w:rFonts w:ascii="Arial" w:hAnsi="Arial" w:cs="Arial"/>
                <w:b/>
                <w:i/>
                <w:i/>
                <w:color w:val="000000"/>
                <w:sz w:val="18"/>
              </w:rPr>
            </w:pPr>
            <w:r>
              <w:rPr>
                <w:rFonts w:cs="Arial" w:ascii="Arial" w:hAnsi="Arial"/>
                <w:b/>
                <w:i/>
                <w:color w:val="000000"/>
                <w:sz w:val="18"/>
              </w:rPr>
            </w:r>
          </w:p>
        </w:tc>
        <w:tc>
          <w:tcPr>
            <w:tcW w:w="914" w:type="dxa"/>
            <w:tcBorders>
              <w:top w:val="single" w:sz="6" w:space="0" w:color="FFFFFF"/>
              <w:start w:val="dashSmallGap" w:sz="8" w:space="0" w:color="000000"/>
              <w:bottom w:val="single" w:sz="6" w:space="0" w:color="FFFFFF"/>
              <w:end w:val="single" w:sz="6" w:space="0" w:color="FFFFFF"/>
            </w:tcBorders>
          </w:tcPr>
          <w:p>
            <w:pPr>
              <w:pStyle w:val="Normal"/>
              <w:snapToGrid w:val="false"/>
              <w:jc w:val="end"/>
              <w:rPr>
                <w:rFonts w:ascii="Arial" w:hAnsi="Arial" w:cs="Arial"/>
                <w:i/>
                <w:i/>
                <w:color w:val="000000"/>
                <w:sz w:val="18"/>
              </w:rPr>
            </w:pPr>
            <w:r>
              <w:rPr>
                <w:rFonts w:cs="Arial" w:ascii="Arial" w:hAnsi="Arial"/>
                <w:i/>
                <w:color w:val="000000"/>
                <w:sz w:val="18"/>
              </w:rPr>
            </w:r>
          </w:p>
        </w:tc>
        <w:tc>
          <w:tcPr>
            <w:tcW w:w="931" w:type="dxa"/>
            <w:tcBorders>
              <w:top w:val="single" w:sz="6" w:space="0" w:color="FFFFFF"/>
              <w:start w:val="single" w:sz="6" w:space="0" w:color="FFFFFF"/>
              <w:bottom w:val="single" w:sz="6" w:space="0" w:color="FFFFFF"/>
              <w:end w:val="sing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931" w:type="dxa"/>
            <w:tcBorders>
              <w:top w:val="single" w:sz="6" w:space="0" w:color="FFFFFF"/>
              <w:start w:val="single" w:sz="6" w:space="0" w:color="FFFFFF"/>
              <w:bottom w:val="sing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711" w:type="dxa"/>
            <w:tcBorders>
              <w:top w:val="single" w:sz="6" w:space="0" w:color="FFFFFF"/>
              <w:start w:val="dashSmallGap" w:sz="8" w:space="0" w:color="000000"/>
              <w:bottom w:val="single" w:sz="6" w:space="0" w:color="FFFFFF"/>
              <w:end w:val="sing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679" w:type="dxa"/>
            <w:tcBorders>
              <w:top w:val="single" w:sz="6" w:space="0" w:color="FFFFFF"/>
              <w:start w:val="single" w:sz="6" w:space="0" w:color="FFFFFF"/>
              <w:bottom w:val="single" w:sz="6" w:space="0" w:color="FFFFFF"/>
              <w:end w:val="dashSmallGap" w:sz="8"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694" w:type="dxa"/>
            <w:tcBorders>
              <w:top w:val="single" w:sz="6" w:space="0" w:color="FFFFFF"/>
              <w:bottom w:val="single" w:sz="6" w:space="0" w:color="FFFFFF"/>
              <w:end w:val="sing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756" w:type="dxa"/>
            <w:tcBorders>
              <w:top w:val="single" w:sz="6" w:space="0" w:color="FFFFFF"/>
              <w:start w:val="single" w:sz="6" w:space="0" w:color="FFFFFF"/>
              <w:bottom w:val="sing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662" w:type="dxa"/>
            <w:tcBorders>
              <w:top w:val="single" w:sz="6" w:space="0" w:color="FFFFFF"/>
              <w:start w:val="dashSmallGap" w:sz="8" w:space="0" w:color="000000"/>
              <w:bottom w:val="single" w:sz="6" w:space="0" w:color="FFFFFF"/>
              <w:end w:val="sing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694" w:type="dxa"/>
            <w:tcBorders>
              <w:top w:val="single" w:sz="6" w:space="0" w:color="FFFFFF"/>
              <w:start w:val="single" w:sz="6" w:space="0" w:color="FFFFFF"/>
              <w:bottom w:val="single" w:sz="6" w:space="0" w:color="FFFFFF"/>
              <w:end w:val="doub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233" w:hRule="atLeast"/>
        </w:trPr>
        <w:tc>
          <w:tcPr>
            <w:tcW w:w="1798" w:type="dxa"/>
            <w:tcBorders>
              <w:top w:val="single" w:sz="6" w:space="0" w:color="FFFFFF"/>
              <w:start w:val="double" w:sz="6" w:space="0" w:color="FFFFFF"/>
              <w:bottom w:val="single" w:sz="6" w:space="0" w:color="FFFFFF"/>
            </w:tcBorders>
          </w:tcPr>
          <w:p>
            <w:pPr>
              <w:pStyle w:val="Normal"/>
              <w:jc w:val="end"/>
              <w:rPr>
                <w:rFonts w:ascii="Arial" w:hAnsi="Arial" w:cs="Arial"/>
                <w:i/>
                <w:i/>
                <w:color w:val="000000"/>
                <w:sz w:val="18"/>
              </w:rPr>
            </w:pPr>
            <w:r>
              <w:rPr>
                <w:rFonts w:cs="Arial" w:ascii="Arial" w:hAnsi="Arial"/>
                <w:i/>
                <w:color w:val="000000"/>
                <w:sz w:val="18"/>
              </w:rPr>
              <w:t>All Returns</w:t>
            </w:r>
          </w:p>
        </w:tc>
        <w:tc>
          <w:tcPr>
            <w:tcW w:w="914"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11%</w:t>
            </w:r>
          </w:p>
        </w:tc>
        <w:tc>
          <w:tcPr>
            <w:tcW w:w="931" w:type="dxa"/>
            <w:tcBorders>
              <w:top w:val="single" w:sz="6" w:space="0" w:color="FFFFFF"/>
              <w:start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69%</w:t>
            </w:r>
          </w:p>
        </w:tc>
        <w:tc>
          <w:tcPr>
            <w:tcW w:w="931"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72%</w:t>
            </w:r>
          </w:p>
        </w:tc>
        <w:tc>
          <w:tcPr>
            <w:tcW w:w="711" w:type="dxa"/>
            <w:tcBorders>
              <w:top w:val="single" w:sz="6" w:space="0" w:color="FFFFFF"/>
              <w:start w:val="dashSmallGap" w:sz="8" w:space="0" w:color="000000"/>
              <w:bottom w:val="single" w:sz="6" w:space="0" w:color="FFFFFF"/>
              <w:end w:val="sing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679" w:type="dxa"/>
            <w:tcBorders>
              <w:top w:val="single" w:sz="6" w:space="0" w:color="FFFFFF"/>
              <w:start w:val="single" w:sz="6" w:space="0" w:color="FFFFFF"/>
              <w:bottom w:val="single" w:sz="6" w:space="0" w:color="FFFFFF"/>
              <w:end w:val="dashSmallGap" w:sz="8"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694" w:type="dxa"/>
            <w:tcBorders>
              <w:top w:val="single" w:sz="6" w:space="0" w:color="FFFFFF"/>
              <w:bottom w:val="single" w:sz="6" w:space="0" w:color="FFFFFF"/>
              <w:end w:val="sing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756" w:type="dxa"/>
            <w:tcBorders>
              <w:top w:val="single" w:sz="6" w:space="0" w:color="FFFFFF"/>
              <w:start w:val="single" w:sz="6" w:space="0" w:color="FFFFFF"/>
              <w:bottom w:val="sing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662" w:type="dxa"/>
            <w:tcBorders>
              <w:top w:val="single" w:sz="6" w:space="0" w:color="FFFFFF"/>
              <w:start w:val="dashSmallGap" w:sz="8" w:space="0" w:color="000000"/>
              <w:bottom w:val="single" w:sz="6" w:space="0" w:color="FFFFFF"/>
              <w:end w:val="sing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c>
          <w:tcPr>
            <w:tcW w:w="694" w:type="dxa"/>
            <w:tcBorders>
              <w:top w:val="single" w:sz="6" w:space="0" w:color="FFFFFF"/>
              <w:start w:val="single" w:sz="6" w:space="0" w:color="FFFFFF"/>
              <w:bottom w:val="single" w:sz="6" w:space="0" w:color="FFFFFF"/>
              <w:end w:val="double" w:sz="6" w:space="0" w:color="FFFFFF"/>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233" w:hRule="atLeast"/>
        </w:trPr>
        <w:tc>
          <w:tcPr>
            <w:tcW w:w="1798" w:type="dxa"/>
            <w:tcBorders>
              <w:top w:val="single" w:sz="6" w:space="0" w:color="FFFFFF"/>
              <w:start w:val="double" w:sz="6" w:space="0" w:color="FFFFFF"/>
              <w:bottom w:val="single" w:sz="6" w:space="0" w:color="FFFFFF"/>
            </w:tcBorders>
          </w:tcPr>
          <w:p>
            <w:pPr>
              <w:pStyle w:val="Normal"/>
              <w:rPr>
                <w:rFonts w:ascii="Arial" w:hAnsi="Arial" w:cs="Arial"/>
                <w:color w:val="000000"/>
                <w:sz w:val="18"/>
              </w:rPr>
            </w:pPr>
            <w:r>
              <w:rPr>
                <w:rFonts w:cs="Arial" w:ascii="Arial" w:hAnsi="Arial"/>
                <w:color w:val="000000"/>
                <w:sz w:val="18"/>
              </w:rPr>
              <w:t>Under $30,000</w:t>
            </w:r>
          </w:p>
        </w:tc>
        <w:tc>
          <w:tcPr>
            <w:tcW w:w="914"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-4%</w:t>
            </w:r>
          </w:p>
        </w:tc>
        <w:tc>
          <w:tcPr>
            <w:tcW w:w="931" w:type="dxa"/>
            <w:tcBorders>
              <w:top w:val="single" w:sz="6" w:space="0" w:color="FFFFFF"/>
              <w:start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-5%</w:t>
            </w:r>
          </w:p>
        </w:tc>
        <w:tc>
          <w:tcPr>
            <w:tcW w:w="931"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-20%</w:t>
            </w:r>
          </w:p>
        </w:tc>
        <w:tc>
          <w:tcPr>
            <w:tcW w:w="711"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63%</w:t>
            </w:r>
          </w:p>
        </w:tc>
        <w:tc>
          <w:tcPr>
            <w:tcW w:w="679" w:type="dxa"/>
            <w:tcBorders>
              <w:top w:val="single" w:sz="6" w:space="0" w:color="FFFFFF"/>
              <w:start w:val="single" w:sz="6" w:space="0" w:color="FFFFFF"/>
              <w:bottom w:val="single" w:sz="6" w:space="0" w:color="FFFFFF"/>
              <w:end w:val="dashSmallGap" w:sz="8" w:space="0" w:color="000000"/>
            </w:tcBorders>
          </w:tcPr>
          <w:p>
            <w:pPr>
              <w:pStyle w:val="Normal"/>
              <w:jc w:val="end"/>
              <w:rPr>
                <w:rFonts w:ascii="Arial" w:hAnsi="Arial" w:cs="Arial"/>
                <w:color w:val="000000"/>
                <w:sz w:val="18"/>
              </w:rPr>
            </w:pPr>
            <w:r>
              <w:rPr>
                <w:rFonts w:cs="Arial" w:ascii="Arial" w:hAnsi="Arial"/>
                <w:color w:val="000000"/>
                <w:sz w:val="18"/>
              </w:rPr>
              <w:t>55%</w:t>
            </w:r>
          </w:p>
        </w:tc>
        <w:tc>
          <w:tcPr>
            <w:tcW w:w="694" w:type="dxa"/>
            <w:tcBorders>
              <w:top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16%</w:t>
            </w:r>
          </w:p>
        </w:tc>
        <w:tc>
          <w:tcPr>
            <w:tcW w:w="756"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9%</w:t>
            </w:r>
          </w:p>
        </w:tc>
        <w:tc>
          <w:tcPr>
            <w:tcW w:w="662"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12%</w:t>
            </w:r>
          </w:p>
        </w:tc>
        <w:tc>
          <w:tcPr>
            <w:tcW w:w="694" w:type="dxa"/>
            <w:tcBorders>
              <w:top w:val="single" w:sz="6" w:space="0" w:color="FFFFFF"/>
              <w:start w:val="single" w:sz="6" w:space="0" w:color="FFFFFF"/>
              <w:bottom w:val="single" w:sz="6" w:space="0" w:color="FFFFFF"/>
              <w:end w:val="double" w:sz="6" w:space="0" w:color="FFFFFF"/>
            </w:tcBorders>
          </w:tcPr>
          <w:p>
            <w:pPr>
              <w:pStyle w:val="Normal"/>
              <w:jc w:val="end"/>
              <w:rPr>
                <w:rFonts w:ascii="Arial" w:hAnsi="Arial" w:cs="Arial"/>
                <w:color w:val="000000"/>
                <w:sz w:val="18"/>
              </w:rPr>
            </w:pPr>
            <w:r>
              <w:rPr>
                <w:rFonts w:cs="Arial" w:ascii="Arial" w:hAnsi="Arial"/>
                <w:color w:val="000000"/>
                <w:sz w:val="18"/>
              </w:rPr>
              <w:t>5%</w:t>
            </w:r>
          </w:p>
        </w:tc>
      </w:tr>
      <w:tr>
        <w:trPr>
          <w:trHeight w:val="233" w:hRule="atLeast"/>
        </w:trPr>
        <w:tc>
          <w:tcPr>
            <w:tcW w:w="1798" w:type="dxa"/>
            <w:tcBorders>
              <w:top w:val="single" w:sz="6" w:space="0" w:color="FFFFFF"/>
              <w:start w:val="double" w:sz="6" w:space="0" w:color="FFFFFF"/>
              <w:bottom w:val="single" w:sz="6" w:space="0" w:color="FFFFFF"/>
            </w:tcBorders>
          </w:tcPr>
          <w:p>
            <w:pPr>
              <w:pStyle w:val="Normal"/>
              <w:rPr>
                <w:rFonts w:ascii="Arial" w:hAnsi="Arial" w:cs="Arial"/>
                <w:color w:val="000000"/>
                <w:sz w:val="18"/>
              </w:rPr>
            </w:pPr>
            <w:r>
              <w:rPr>
                <w:rFonts w:cs="Arial" w:ascii="Arial" w:hAnsi="Arial"/>
                <w:color w:val="000000"/>
                <w:sz w:val="18"/>
              </w:rPr>
              <w:t>$30,000-50,000</w:t>
            </w:r>
          </w:p>
        </w:tc>
        <w:tc>
          <w:tcPr>
            <w:tcW w:w="914"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8%</w:t>
            </w:r>
          </w:p>
        </w:tc>
        <w:tc>
          <w:tcPr>
            <w:tcW w:w="931" w:type="dxa"/>
            <w:tcBorders>
              <w:top w:val="single" w:sz="6" w:space="0" w:color="FFFFFF"/>
              <w:start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6%</w:t>
            </w:r>
          </w:p>
        </w:tc>
        <w:tc>
          <w:tcPr>
            <w:tcW w:w="931"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-5%</w:t>
            </w:r>
          </w:p>
        </w:tc>
        <w:tc>
          <w:tcPr>
            <w:tcW w:w="711"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19%</w:t>
            </w:r>
          </w:p>
        </w:tc>
        <w:tc>
          <w:tcPr>
            <w:tcW w:w="679" w:type="dxa"/>
            <w:tcBorders>
              <w:top w:val="single" w:sz="6" w:space="0" w:color="FFFFFF"/>
              <w:start w:val="single" w:sz="6" w:space="0" w:color="FFFFFF"/>
              <w:bottom w:val="single" w:sz="6" w:space="0" w:color="FFFFFF"/>
              <w:end w:val="dashSmallGap" w:sz="8" w:space="0" w:color="000000"/>
            </w:tcBorders>
          </w:tcPr>
          <w:p>
            <w:pPr>
              <w:pStyle w:val="Normal"/>
              <w:jc w:val="end"/>
              <w:rPr>
                <w:rFonts w:ascii="Arial" w:hAnsi="Arial" w:cs="Arial"/>
                <w:color w:val="000000"/>
                <w:sz w:val="18"/>
              </w:rPr>
            </w:pPr>
            <w:r>
              <w:rPr>
                <w:rFonts w:cs="Arial" w:ascii="Arial" w:hAnsi="Arial"/>
                <w:color w:val="000000"/>
                <w:sz w:val="18"/>
              </w:rPr>
              <w:t>18%</w:t>
            </w:r>
          </w:p>
        </w:tc>
        <w:tc>
          <w:tcPr>
            <w:tcW w:w="694" w:type="dxa"/>
            <w:tcBorders>
              <w:top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22%</w:t>
            </w:r>
          </w:p>
        </w:tc>
        <w:tc>
          <w:tcPr>
            <w:tcW w:w="756"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14%</w:t>
            </w:r>
          </w:p>
        </w:tc>
        <w:tc>
          <w:tcPr>
            <w:tcW w:w="662"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17%</w:t>
            </w:r>
          </w:p>
        </w:tc>
        <w:tc>
          <w:tcPr>
            <w:tcW w:w="694" w:type="dxa"/>
            <w:tcBorders>
              <w:top w:val="single" w:sz="6" w:space="0" w:color="FFFFFF"/>
              <w:start w:val="single" w:sz="6" w:space="0" w:color="FFFFFF"/>
              <w:bottom w:val="single" w:sz="6" w:space="0" w:color="FFFFFF"/>
              <w:end w:val="double" w:sz="6" w:space="0" w:color="FFFFFF"/>
            </w:tcBorders>
          </w:tcPr>
          <w:p>
            <w:pPr>
              <w:pStyle w:val="Normal"/>
              <w:jc w:val="end"/>
              <w:rPr>
                <w:rFonts w:ascii="Arial" w:hAnsi="Arial" w:cs="Arial"/>
                <w:color w:val="000000"/>
                <w:sz w:val="18"/>
              </w:rPr>
            </w:pPr>
            <w:r>
              <w:rPr>
                <w:rFonts w:cs="Arial" w:ascii="Arial" w:hAnsi="Arial"/>
                <w:color w:val="000000"/>
                <w:sz w:val="18"/>
              </w:rPr>
              <w:t>9%</w:t>
            </w:r>
          </w:p>
        </w:tc>
      </w:tr>
      <w:tr>
        <w:trPr>
          <w:trHeight w:val="233" w:hRule="atLeast"/>
        </w:trPr>
        <w:tc>
          <w:tcPr>
            <w:tcW w:w="1798" w:type="dxa"/>
            <w:tcBorders>
              <w:top w:val="single" w:sz="6" w:space="0" w:color="FFFFFF"/>
              <w:start w:val="double" w:sz="6" w:space="0" w:color="FFFFFF"/>
              <w:bottom w:val="single" w:sz="6" w:space="0" w:color="FFFFFF"/>
            </w:tcBorders>
          </w:tcPr>
          <w:p>
            <w:pPr>
              <w:pStyle w:val="Normal"/>
              <w:rPr>
                <w:rFonts w:ascii="Arial" w:hAnsi="Arial" w:cs="Arial"/>
                <w:color w:val="000000"/>
                <w:sz w:val="18"/>
              </w:rPr>
            </w:pPr>
            <w:r>
              <w:rPr>
                <w:rFonts w:cs="Arial" w:ascii="Arial" w:hAnsi="Arial"/>
                <w:color w:val="000000"/>
                <w:sz w:val="18"/>
              </w:rPr>
              <w:t>$50,000-75.000</w:t>
            </w:r>
          </w:p>
        </w:tc>
        <w:tc>
          <w:tcPr>
            <w:tcW w:w="914"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37%</w:t>
            </w:r>
          </w:p>
        </w:tc>
        <w:tc>
          <w:tcPr>
            <w:tcW w:w="931" w:type="dxa"/>
            <w:tcBorders>
              <w:top w:val="single" w:sz="6" w:space="0" w:color="FFFFFF"/>
              <w:start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4%</w:t>
            </w:r>
          </w:p>
        </w:tc>
        <w:tc>
          <w:tcPr>
            <w:tcW w:w="931"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23%</w:t>
            </w:r>
          </w:p>
        </w:tc>
        <w:tc>
          <w:tcPr>
            <w:tcW w:w="711"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11%</w:t>
            </w:r>
          </w:p>
        </w:tc>
        <w:tc>
          <w:tcPr>
            <w:tcW w:w="679" w:type="dxa"/>
            <w:tcBorders>
              <w:top w:val="single" w:sz="6" w:space="0" w:color="FFFFFF"/>
              <w:start w:val="single" w:sz="6" w:space="0" w:color="FFFFFF"/>
              <w:bottom w:val="single" w:sz="6" w:space="0" w:color="FFFFFF"/>
              <w:end w:val="dashSmallGap" w:sz="8" w:space="0" w:color="000000"/>
            </w:tcBorders>
          </w:tcPr>
          <w:p>
            <w:pPr>
              <w:pStyle w:val="Normal"/>
              <w:jc w:val="end"/>
              <w:rPr>
                <w:rFonts w:ascii="Arial" w:hAnsi="Arial" w:cs="Arial"/>
                <w:color w:val="000000"/>
                <w:sz w:val="18"/>
              </w:rPr>
            </w:pPr>
            <w:r>
              <w:rPr>
                <w:rFonts w:cs="Arial" w:ascii="Arial" w:hAnsi="Arial"/>
                <w:color w:val="000000"/>
                <w:sz w:val="18"/>
              </w:rPr>
              <w:t>13%</w:t>
            </w:r>
          </w:p>
        </w:tc>
        <w:tc>
          <w:tcPr>
            <w:tcW w:w="694" w:type="dxa"/>
            <w:tcBorders>
              <w:top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21%</w:t>
            </w:r>
          </w:p>
        </w:tc>
        <w:tc>
          <w:tcPr>
            <w:tcW w:w="756"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17%</w:t>
            </w:r>
          </w:p>
        </w:tc>
        <w:tc>
          <w:tcPr>
            <w:tcW w:w="662"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18%</w:t>
            </w:r>
          </w:p>
        </w:tc>
        <w:tc>
          <w:tcPr>
            <w:tcW w:w="694" w:type="dxa"/>
            <w:tcBorders>
              <w:top w:val="single" w:sz="6" w:space="0" w:color="FFFFFF"/>
              <w:start w:val="single" w:sz="6" w:space="0" w:color="FFFFFF"/>
              <w:bottom w:val="single" w:sz="6" w:space="0" w:color="FFFFFF"/>
              <w:end w:val="double" w:sz="6" w:space="0" w:color="FFFFFF"/>
            </w:tcBorders>
          </w:tcPr>
          <w:p>
            <w:pPr>
              <w:pStyle w:val="Normal"/>
              <w:jc w:val="end"/>
              <w:rPr>
                <w:rFonts w:ascii="Arial" w:hAnsi="Arial" w:cs="Arial"/>
                <w:color w:val="000000"/>
                <w:sz w:val="18"/>
              </w:rPr>
            </w:pPr>
            <w:r>
              <w:rPr>
                <w:rFonts w:cs="Arial" w:ascii="Arial" w:hAnsi="Arial"/>
                <w:color w:val="000000"/>
                <w:sz w:val="18"/>
              </w:rPr>
              <w:t>13%</w:t>
            </w:r>
          </w:p>
        </w:tc>
      </w:tr>
      <w:tr>
        <w:trPr>
          <w:trHeight w:val="233" w:hRule="atLeast"/>
        </w:trPr>
        <w:tc>
          <w:tcPr>
            <w:tcW w:w="1798" w:type="dxa"/>
            <w:tcBorders>
              <w:top w:val="single" w:sz="6" w:space="0" w:color="FFFFFF"/>
              <w:start w:val="double" w:sz="6" w:space="0" w:color="FFFFFF"/>
              <w:bottom w:val="single" w:sz="6" w:space="0" w:color="FFFFFF"/>
            </w:tcBorders>
          </w:tcPr>
          <w:p>
            <w:pPr>
              <w:pStyle w:val="Normal"/>
              <w:rPr>
                <w:rFonts w:ascii="Arial" w:hAnsi="Arial" w:cs="Arial"/>
                <w:color w:val="000000"/>
                <w:sz w:val="18"/>
              </w:rPr>
            </w:pPr>
            <w:r>
              <w:rPr>
                <w:rFonts w:cs="Arial" w:ascii="Arial" w:hAnsi="Arial"/>
                <w:color w:val="000000"/>
                <w:sz w:val="18"/>
              </w:rPr>
              <w:t>$75,000-100,000</w:t>
            </w:r>
          </w:p>
        </w:tc>
        <w:tc>
          <w:tcPr>
            <w:tcW w:w="914"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85%</w:t>
            </w:r>
          </w:p>
        </w:tc>
        <w:tc>
          <w:tcPr>
            <w:tcW w:w="931" w:type="dxa"/>
            <w:tcBorders>
              <w:top w:val="single" w:sz="6" w:space="0" w:color="FFFFFF"/>
              <w:start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8%</w:t>
            </w:r>
          </w:p>
        </w:tc>
        <w:tc>
          <w:tcPr>
            <w:tcW w:w="931"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69%</w:t>
            </w:r>
          </w:p>
        </w:tc>
        <w:tc>
          <w:tcPr>
            <w:tcW w:w="711"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4%</w:t>
            </w:r>
          </w:p>
        </w:tc>
        <w:tc>
          <w:tcPr>
            <w:tcW w:w="679" w:type="dxa"/>
            <w:tcBorders>
              <w:top w:val="single" w:sz="6" w:space="0" w:color="FFFFFF"/>
              <w:start w:val="single" w:sz="6" w:space="0" w:color="FFFFFF"/>
              <w:bottom w:val="single" w:sz="6" w:space="0" w:color="FFFFFF"/>
              <w:end w:val="dashSmallGap" w:sz="8" w:space="0" w:color="000000"/>
            </w:tcBorders>
          </w:tcPr>
          <w:p>
            <w:pPr>
              <w:pStyle w:val="Normal"/>
              <w:jc w:val="end"/>
              <w:rPr>
                <w:rFonts w:ascii="Arial" w:hAnsi="Arial" w:cs="Arial"/>
                <w:color w:val="000000"/>
                <w:sz w:val="18"/>
              </w:rPr>
            </w:pPr>
            <w:r>
              <w:rPr>
                <w:rFonts w:cs="Arial" w:ascii="Arial" w:hAnsi="Arial"/>
                <w:color w:val="000000"/>
                <w:sz w:val="18"/>
              </w:rPr>
              <w:t>6%</w:t>
            </w:r>
          </w:p>
        </w:tc>
        <w:tc>
          <w:tcPr>
            <w:tcW w:w="694" w:type="dxa"/>
            <w:tcBorders>
              <w:top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11%</w:t>
            </w:r>
          </w:p>
        </w:tc>
        <w:tc>
          <w:tcPr>
            <w:tcW w:w="756"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12%</w:t>
            </w:r>
          </w:p>
        </w:tc>
        <w:tc>
          <w:tcPr>
            <w:tcW w:w="662"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11%</w:t>
            </w:r>
          </w:p>
        </w:tc>
        <w:tc>
          <w:tcPr>
            <w:tcW w:w="694" w:type="dxa"/>
            <w:tcBorders>
              <w:top w:val="single" w:sz="6" w:space="0" w:color="FFFFFF"/>
              <w:start w:val="single" w:sz="6" w:space="0" w:color="FFFFFF"/>
              <w:bottom w:val="single" w:sz="6" w:space="0" w:color="FFFFFF"/>
              <w:end w:val="double" w:sz="6" w:space="0" w:color="FFFFFF"/>
            </w:tcBorders>
          </w:tcPr>
          <w:p>
            <w:pPr>
              <w:pStyle w:val="Normal"/>
              <w:jc w:val="end"/>
              <w:rPr>
                <w:rFonts w:ascii="Arial" w:hAnsi="Arial" w:cs="Arial"/>
                <w:color w:val="000000"/>
                <w:sz w:val="18"/>
              </w:rPr>
            </w:pPr>
            <w:r>
              <w:rPr>
                <w:rFonts w:cs="Arial" w:ascii="Arial" w:hAnsi="Arial"/>
                <w:color w:val="000000"/>
                <w:sz w:val="18"/>
              </w:rPr>
              <w:t>10%</w:t>
            </w:r>
          </w:p>
        </w:tc>
      </w:tr>
      <w:tr>
        <w:trPr>
          <w:trHeight w:val="233" w:hRule="atLeast"/>
        </w:trPr>
        <w:tc>
          <w:tcPr>
            <w:tcW w:w="1798" w:type="dxa"/>
            <w:tcBorders>
              <w:top w:val="single" w:sz="6" w:space="0" w:color="FFFFFF"/>
              <w:start w:val="double" w:sz="6" w:space="0" w:color="FFFFFF"/>
              <w:bottom w:val="single" w:sz="6" w:space="0" w:color="FFFFFF"/>
            </w:tcBorders>
          </w:tcPr>
          <w:p>
            <w:pPr>
              <w:pStyle w:val="Normal"/>
              <w:rPr>
                <w:rFonts w:ascii="Arial" w:hAnsi="Arial" w:cs="Arial"/>
                <w:color w:val="000000"/>
                <w:sz w:val="18"/>
              </w:rPr>
            </w:pPr>
            <w:r>
              <w:rPr>
                <w:rFonts w:cs="Arial" w:ascii="Arial" w:hAnsi="Arial"/>
                <w:color w:val="000000"/>
                <w:sz w:val="18"/>
              </w:rPr>
              <w:t>$100,000-200,000</w:t>
            </w:r>
          </w:p>
        </w:tc>
        <w:tc>
          <w:tcPr>
            <w:tcW w:w="914"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129%</w:t>
            </w:r>
          </w:p>
        </w:tc>
        <w:tc>
          <w:tcPr>
            <w:tcW w:w="931" w:type="dxa"/>
            <w:tcBorders>
              <w:top w:val="single" w:sz="6" w:space="0" w:color="FFFFFF"/>
              <w:start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38%</w:t>
            </w:r>
          </w:p>
        </w:tc>
        <w:tc>
          <w:tcPr>
            <w:tcW w:w="931"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115%</w:t>
            </w:r>
          </w:p>
        </w:tc>
        <w:tc>
          <w:tcPr>
            <w:tcW w:w="711"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3%</w:t>
            </w:r>
          </w:p>
        </w:tc>
        <w:tc>
          <w:tcPr>
            <w:tcW w:w="679" w:type="dxa"/>
            <w:tcBorders>
              <w:top w:val="single" w:sz="6" w:space="0" w:color="FFFFFF"/>
              <w:start w:val="single" w:sz="6" w:space="0" w:color="FFFFFF"/>
              <w:bottom w:val="single" w:sz="6" w:space="0" w:color="FFFFFF"/>
              <w:end w:val="dashSmallGap" w:sz="8" w:space="0" w:color="000000"/>
            </w:tcBorders>
          </w:tcPr>
          <w:p>
            <w:pPr>
              <w:pStyle w:val="Normal"/>
              <w:jc w:val="end"/>
              <w:rPr>
                <w:rFonts w:ascii="Arial" w:hAnsi="Arial" w:cs="Arial"/>
                <w:color w:val="000000"/>
                <w:sz w:val="18"/>
              </w:rPr>
            </w:pPr>
            <w:r>
              <w:rPr>
                <w:rFonts w:cs="Arial" w:ascii="Arial" w:hAnsi="Arial"/>
                <w:color w:val="000000"/>
                <w:sz w:val="18"/>
              </w:rPr>
              <w:t>6%</w:t>
            </w:r>
          </w:p>
        </w:tc>
        <w:tc>
          <w:tcPr>
            <w:tcW w:w="694" w:type="dxa"/>
            <w:tcBorders>
              <w:top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13%</w:t>
            </w:r>
          </w:p>
        </w:tc>
        <w:tc>
          <w:tcPr>
            <w:tcW w:w="756"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17%</w:t>
            </w:r>
          </w:p>
        </w:tc>
        <w:tc>
          <w:tcPr>
            <w:tcW w:w="662"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15%</w:t>
            </w:r>
          </w:p>
        </w:tc>
        <w:tc>
          <w:tcPr>
            <w:tcW w:w="694" w:type="dxa"/>
            <w:tcBorders>
              <w:top w:val="single" w:sz="6" w:space="0" w:color="FFFFFF"/>
              <w:start w:val="single" w:sz="6" w:space="0" w:color="FFFFFF"/>
              <w:bottom w:val="single" w:sz="6" w:space="0" w:color="FFFFFF"/>
              <w:end w:val="double" w:sz="6" w:space="0" w:color="FFFFFF"/>
            </w:tcBorders>
          </w:tcPr>
          <w:p>
            <w:pPr>
              <w:pStyle w:val="Normal"/>
              <w:jc w:val="end"/>
              <w:rPr>
                <w:rFonts w:ascii="Arial" w:hAnsi="Arial" w:cs="Arial"/>
                <w:color w:val="000000"/>
                <w:sz w:val="18"/>
              </w:rPr>
            </w:pPr>
            <w:r>
              <w:rPr>
                <w:rFonts w:cs="Arial" w:ascii="Arial" w:hAnsi="Arial"/>
                <w:color w:val="000000"/>
                <w:sz w:val="18"/>
              </w:rPr>
              <w:t>18%</w:t>
            </w:r>
          </w:p>
        </w:tc>
      </w:tr>
      <w:tr>
        <w:trPr>
          <w:trHeight w:val="233" w:hRule="atLeast"/>
        </w:trPr>
        <w:tc>
          <w:tcPr>
            <w:tcW w:w="1798" w:type="dxa"/>
            <w:tcBorders>
              <w:top w:val="single" w:sz="6" w:space="0" w:color="FFFFFF"/>
              <w:start w:val="double" w:sz="6" w:space="0" w:color="FFFFFF"/>
              <w:bottom w:val="single" w:sz="6" w:space="0" w:color="FFFFFF"/>
            </w:tcBorders>
          </w:tcPr>
          <w:p>
            <w:pPr>
              <w:pStyle w:val="Normal"/>
              <w:rPr>
                <w:rFonts w:ascii="Arial" w:hAnsi="Arial" w:cs="Arial"/>
                <w:color w:val="000000"/>
                <w:sz w:val="18"/>
              </w:rPr>
            </w:pPr>
            <w:r>
              <w:rPr>
                <w:rFonts w:cs="Arial" w:ascii="Arial" w:hAnsi="Arial"/>
                <w:color w:val="000000"/>
                <w:sz w:val="18"/>
              </w:rPr>
              <w:t>$200,000-500,000</w:t>
            </w:r>
          </w:p>
        </w:tc>
        <w:tc>
          <w:tcPr>
            <w:tcW w:w="914"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139%</w:t>
            </w:r>
          </w:p>
        </w:tc>
        <w:tc>
          <w:tcPr>
            <w:tcW w:w="931" w:type="dxa"/>
            <w:tcBorders>
              <w:top w:val="single" w:sz="6" w:space="0" w:color="FFFFFF"/>
              <w:start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87%</w:t>
            </w:r>
          </w:p>
        </w:tc>
        <w:tc>
          <w:tcPr>
            <w:tcW w:w="931"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124%</w:t>
            </w:r>
          </w:p>
        </w:tc>
        <w:tc>
          <w:tcPr>
            <w:tcW w:w="711"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w:t>
            </w:r>
          </w:p>
        </w:tc>
        <w:tc>
          <w:tcPr>
            <w:tcW w:w="679" w:type="dxa"/>
            <w:tcBorders>
              <w:top w:val="single" w:sz="6" w:space="0" w:color="FFFFFF"/>
              <w:start w:val="single" w:sz="6" w:space="0" w:color="FFFFFF"/>
              <w:bottom w:val="single" w:sz="6" w:space="0" w:color="FFFFFF"/>
              <w:end w:val="dashSmallGap" w:sz="8" w:space="0" w:color="000000"/>
            </w:tcBorders>
          </w:tcPr>
          <w:p>
            <w:pPr>
              <w:pStyle w:val="Normal"/>
              <w:jc w:val="end"/>
              <w:rPr>
                <w:rFonts w:ascii="Arial" w:hAnsi="Arial" w:cs="Arial"/>
                <w:color w:val="000000"/>
                <w:sz w:val="18"/>
              </w:rPr>
            </w:pPr>
            <w:r>
              <w:rPr>
                <w:rFonts w:cs="Arial" w:ascii="Arial" w:hAnsi="Arial"/>
                <w:color w:val="000000"/>
                <w:sz w:val="18"/>
              </w:rPr>
              <w:t>2%</w:t>
            </w:r>
          </w:p>
        </w:tc>
        <w:tc>
          <w:tcPr>
            <w:tcW w:w="694" w:type="dxa"/>
            <w:tcBorders>
              <w:top w:val="single" w:sz="6" w:space="0" w:color="FFFFFF"/>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8%</w:t>
            </w:r>
          </w:p>
        </w:tc>
        <w:tc>
          <w:tcPr>
            <w:tcW w:w="756" w:type="dxa"/>
            <w:tcBorders>
              <w:top w:val="single" w:sz="6" w:space="0" w:color="FFFFFF"/>
              <w:start w:val="single" w:sz="6" w:space="0" w:color="FFFFFF"/>
              <w:bottom w:val="single" w:sz="6" w:space="0" w:color="FFFFFF"/>
            </w:tcBorders>
          </w:tcPr>
          <w:p>
            <w:pPr>
              <w:pStyle w:val="Normal"/>
              <w:jc w:val="end"/>
              <w:rPr>
                <w:rFonts w:ascii="Arial" w:hAnsi="Arial" w:cs="Arial"/>
                <w:color w:val="000000"/>
                <w:sz w:val="18"/>
              </w:rPr>
            </w:pPr>
            <w:r>
              <w:rPr>
                <w:rFonts w:cs="Arial" w:ascii="Arial" w:hAnsi="Arial"/>
                <w:color w:val="000000"/>
                <w:sz w:val="18"/>
              </w:rPr>
              <w:t>11%</w:t>
            </w:r>
          </w:p>
        </w:tc>
        <w:tc>
          <w:tcPr>
            <w:tcW w:w="662"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11%</w:t>
            </w:r>
          </w:p>
        </w:tc>
        <w:tc>
          <w:tcPr>
            <w:tcW w:w="694" w:type="dxa"/>
            <w:tcBorders>
              <w:top w:val="single" w:sz="6" w:space="0" w:color="FFFFFF"/>
              <w:start w:val="single" w:sz="6" w:space="0" w:color="FFFFFF"/>
              <w:bottom w:val="single" w:sz="6" w:space="0" w:color="FFFFFF"/>
              <w:end w:val="double" w:sz="6" w:space="0" w:color="FFFFFF"/>
            </w:tcBorders>
          </w:tcPr>
          <w:p>
            <w:pPr>
              <w:pStyle w:val="Normal"/>
              <w:jc w:val="end"/>
              <w:rPr>
                <w:rFonts w:ascii="Arial" w:hAnsi="Arial" w:cs="Arial"/>
                <w:color w:val="000000"/>
                <w:sz w:val="18"/>
              </w:rPr>
            </w:pPr>
            <w:r>
              <w:rPr>
                <w:rFonts w:cs="Arial" w:ascii="Arial" w:hAnsi="Arial"/>
                <w:color w:val="000000"/>
                <w:sz w:val="18"/>
              </w:rPr>
              <w:t>15%</w:t>
            </w:r>
          </w:p>
        </w:tc>
      </w:tr>
      <w:tr>
        <w:trPr>
          <w:trHeight w:val="233" w:hRule="atLeast"/>
        </w:trPr>
        <w:tc>
          <w:tcPr>
            <w:tcW w:w="1798" w:type="dxa"/>
            <w:tcBorders>
              <w:top w:val="single" w:sz="6" w:space="0" w:color="FFFFFF"/>
              <w:start w:val="double" w:sz="6" w:space="0" w:color="FFFFFF"/>
            </w:tcBorders>
          </w:tcPr>
          <w:p>
            <w:pPr>
              <w:pStyle w:val="Normal"/>
              <w:rPr>
                <w:rFonts w:ascii="Arial" w:hAnsi="Arial" w:cs="Arial"/>
                <w:color w:val="000000"/>
                <w:sz w:val="18"/>
              </w:rPr>
            </w:pPr>
            <w:r>
              <w:rPr>
                <w:rFonts w:cs="Arial" w:ascii="Arial" w:hAnsi="Arial"/>
                <w:color w:val="000000"/>
                <w:sz w:val="18"/>
              </w:rPr>
              <w:t>$500,000-1,000,000</w:t>
            </w:r>
          </w:p>
        </w:tc>
        <w:tc>
          <w:tcPr>
            <w:tcW w:w="914"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147%</w:t>
            </w:r>
          </w:p>
        </w:tc>
        <w:tc>
          <w:tcPr>
            <w:tcW w:w="931" w:type="dxa"/>
            <w:tcBorders>
              <w:top w:val="single" w:sz="6" w:space="0" w:color="FFFFFF"/>
              <w:start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130%</w:t>
            </w:r>
          </w:p>
        </w:tc>
        <w:tc>
          <w:tcPr>
            <w:tcW w:w="931" w:type="dxa"/>
            <w:tcBorders>
              <w:top w:val="single" w:sz="6" w:space="0" w:color="FFFFFF"/>
              <w:start w:val="single" w:sz="6" w:space="0" w:color="FFFFFF"/>
            </w:tcBorders>
          </w:tcPr>
          <w:p>
            <w:pPr>
              <w:pStyle w:val="Normal"/>
              <w:jc w:val="end"/>
              <w:rPr>
                <w:rFonts w:ascii="Arial" w:hAnsi="Arial" w:cs="Arial"/>
                <w:color w:val="000000"/>
                <w:sz w:val="18"/>
              </w:rPr>
            </w:pPr>
            <w:r>
              <w:rPr>
                <w:rFonts w:cs="Arial" w:ascii="Arial" w:hAnsi="Arial"/>
                <w:color w:val="000000"/>
                <w:sz w:val="18"/>
              </w:rPr>
              <w:t>135%</w:t>
            </w:r>
          </w:p>
        </w:tc>
        <w:tc>
          <w:tcPr>
            <w:tcW w:w="711"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0.1%</w:t>
            </w:r>
          </w:p>
        </w:tc>
        <w:tc>
          <w:tcPr>
            <w:tcW w:w="679" w:type="dxa"/>
            <w:tcBorders>
              <w:top w:val="single" w:sz="6" w:space="0" w:color="FFFFFF"/>
              <w:start w:val="single" w:sz="6" w:space="0" w:color="FFFFFF"/>
              <w:bottom w:val="single" w:sz="6" w:space="0" w:color="FFFFFF"/>
              <w:end w:val="dashSmallGap" w:sz="8" w:space="0" w:color="000000"/>
            </w:tcBorders>
          </w:tcPr>
          <w:p>
            <w:pPr>
              <w:pStyle w:val="Normal"/>
              <w:jc w:val="end"/>
              <w:rPr>
                <w:rFonts w:ascii="Arial" w:hAnsi="Arial" w:cs="Arial"/>
                <w:color w:val="000000"/>
                <w:sz w:val="18"/>
              </w:rPr>
            </w:pPr>
            <w:r>
              <w:rPr>
                <w:rFonts w:cs="Arial" w:ascii="Arial" w:hAnsi="Arial"/>
                <w:color w:val="000000"/>
                <w:sz w:val="18"/>
              </w:rPr>
              <w:t>0.3%</w:t>
            </w:r>
          </w:p>
        </w:tc>
        <w:tc>
          <w:tcPr>
            <w:tcW w:w="694" w:type="dxa"/>
            <w:tcBorders>
              <w:top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3%</w:t>
            </w:r>
          </w:p>
        </w:tc>
        <w:tc>
          <w:tcPr>
            <w:tcW w:w="756" w:type="dxa"/>
            <w:tcBorders>
              <w:top w:val="single" w:sz="6" w:space="0" w:color="FFFFFF"/>
              <w:start w:val="single" w:sz="6" w:space="0" w:color="FFFFFF"/>
            </w:tcBorders>
          </w:tcPr>
          <w:p>
            <w:pPr>
              <w:pStyle w:val="Normal"/>
              <w:jc w:val="end"/>
              <w:rPr>
                <w:rFonts w:ascii="Arial" w:hAnsi="Arial" w:cs="Arial"/>
                <w:color w:val="000000"/>
                <w:sz w:val="18"/>
              </w:rPr>
            </w:pPr>
            <w:r>
              <w:rPr>
                <w:rFonts w:cs="Arial" w:ascii="Arial" w:hAnsi="Arial"/>
                <w:color w:val="000000"/>
                <w:sz w:val="18"/>
              </w:rPr>
              <w:t>5%</w:t>
            </w:r>
          </w:p>
        </w:tc>
        <w:tc>
          <w:tcPr>
            <w:tcW w:w="662" w:type="dxa"/>
            <w:tcBorders>
              <w:top w:val="single" w:sz="6" w:space="0" w:color="FFFFFF"/>
              <w:start w:val="dashSmallGap" w:sz="8" w:space="0" w:color="000000"/>
              <w:bottom w:val="single" w:sz="6" w:space="0" w:color="FFFFFF"/>
              <w:end w:val="single" w:sz="6" w:space="0" w:color="FFFFFF"/>
            </w:tcBorders>
          </w:tcPr>
          <w:p>
            <w:pPr>
              <w:pStyle w:val="Normal"/>
              <w:jc w:val="end"/>
              <w:rPr>
                <w:rFonts w:ascii="Arial" w:hAnsi="Arial" w:cs="Arial"/>
                <w:color w:val="000000"/>
                <w:sz w:val="18"/>
              </w:rPr>
            </w:pPr>
            <w:r>
              <w:rPr>
                <w:rFonts w:cs="Arial" w:ascii="Arial" w:hAnsi="Arial"/>
                <w:color w:val="000000"/>
                <w:sz w:val="18"/>
              </w:rPr>
              <w:t>6%</w:t>
            </w:r>
          </w:p>
        </w:tc>
        <w:tc>
          <w:tcPr>
            <w:tcW w:w="694" w:type="dxa"/>
            <w:tcBorders>
              <w:top w:val="single" w:sz="6" w:space="0" w:color="FFFFFF"/>
              <w:start w:val="single" w:sz="6" w:space="0" w:color="FFFFFF"/>
              <w:end w:val="double" w:sz="6" w:space="0" w:color="FFFFFF"/>
            </w:tcBorders>
          </w:tcPr>
          <w:p>
            <w:pPr>
              <w:pStyle w:val="Normal"/>
              <w:jc w:val="end"/>
              <w:rPr>
                <w:rFonts w:ascii="Arial" w:hAnsi="Arial" w:cs="Arial"/>
                <w:color w:val="000000"/>
                <w:sz w:val="18"/>
              </w:rPr>
            </w:pPr>
            <w:r>
              <w:rPr>
                <w:rFonts w:cs="Arial" w:ascii="Arial" w:hAnsi="Arial"/>
                <w:color w:val="000000"/>
                <w:sz w:val="18"/>
              </w:rPr>
              <w:t>8%</w:t>
            </w:r>
          </w:p>
        </w:tc>
      </w:tr>
      <w:tr>
        <w:trPr>
          <w:trHeight w:val="233" w:hRule="atLeast"/>
        </w:trPr>
        <w:tc>
          <w:tcPr>
            <w:tcW w:w="1798" w:type="dxa"/>
            <w:tcBorders>
              <w:top w:val="single" w:sz="6" w:space="0" w:color="FFFFFF"/>
              <w:start w:val="double" w:sz="6" w:space="0" w:color="FFFFFF"/>
              <w:bottom w:val="single" w:sz="6" w:space="0" w:color="000000"/>
            </w:tcBorders>
          </w:tcPr>
          <w:p>
            <w:pPr>
              <w:pStyle w:val="Normal"/>
              <w:rPr>
                <w:rFonts w:ascii="Arial" w:hAnsi="Arial" w:cs="Arial"/>
                <w:color w:val="000000"/>
                <w:sz w:val="18"/>
              </w:rPr>
            </w:pPr>
            <w:r>
              <w:rPr>
                <w:rFonts w:cs="Arial" w:ascii="Arial" w:hAnsi="Arial"/>
                <w:color w:val="000000"/>
                <w:sz w:val="18"/>
              </w:rPr>
              <w:t>$1,000,000 and up</w:t>
            </w:r>
          </w:p>
        </w:tc>
        <w:tc>
          <w:tcPr>
            <w:tcW w:w="914" w:type="dxa"/>
            <w:tcBorders>
              <w:top w:val="single" w:sz="6" w:space="0" w:color="FFFFFF"/>
              <w:start w:val="dashSmallGap" w:sz="8" w:space="0" w:color="000000"/>
              <w:bottom w:val="single" w:sz="6" w:space="0" w:color="000000"/>
              <w:end w:val="single" w:sz="6" w:space="0" w:color="FFFFFF"/>
            </w:tcBorders>
          </w:tcPr>
          <w:p>
            <w:pPr>
              <w:pStyle w:val="Normal"/>
              <w:jc w:val="end"/>
              <w:rPr>
                <w:rFonts w:ascii="Arial" w:hAnsi="Arial" w:cs="Arial"/>
                <w:color w:val="000000"/>
                <w:sz w:val="18"/>
              </w:rPr>
            </w:pPr>
            <w:r>
              <w:rPr>
                <w:rFonts w:cs="Arial" w:ascii="Arial" w:hAnsi="Arial"/>
                <w:color w:val="000000"/>
                <w:sz w:val="18"/>
              </w:rPr>
              <w:t>209%</w:t>
            </w:r>
          </w:p>
        </w:tc>
        <w:tc>
          <w:tcPr>
            <w:tcW w:w="931" w:type="dxa"/>
            <w:tcBorders>
              <w:top w:val="single" w:sz="6" w:space="0" w:color="FFFFFF"/>
              <w:start w:val="single" w:sz="6" w:space="0" w:color="FFFFFF"/>
              <w:bottom w:val="single" w:sz="6" w:space="0" w:color="000000"/>
              <w:end w:val="single" w:sz="6" w:space="0" w:color="FFFFFF"/>
            </w:tcBorders>
          </w:tcPr>
          <w:p>
            <w:pPr>
              <w:pStyle w:val="Normal"/>
              <w:jc w:val="end"/>
              <w:rPr>
                <w:rFonts w:ascii="Arial" w:hAnsi="Arial" w:cs="Arial"/>
                <w:color w:val="000000"/>
                <w:sz w:val="18"/>
              </w:rPr>
            </w:pPr>
            <w:r>
              <w:rPr>
                <w:rFonts w:cs="Arial" w:ascii="Arial" w:hAnsi="Arial"/>
                <w:color w:val="000000"/>
                <w:sz w:val="18"/>
              </w:rPr>
              <w:t>140%</w:t>
            </w:r>
          </w:p>
        </w:tc>
        <w:tc>
          <w:tcPr>
            <w:tcW w:w="931" w:type="dxa"/>
            <w:tcBorders>
              <w:top w:val="single" w:sz="6" w:space="0" w:color="FFFFFF"/>
              <w:start w:val="single" w:sz="6" w:space="0" w:color="FFFFFF"/>
              <w:bottom w:val="single" w:sz="6" w:space="0" w:color="000000"/>
            </w:tcBorders>
          </w:tcPr>
          <w:p>
            <w:pPr>
              <w:pStyle w:val="Normal"/>
              <w:jc w:val="end"/>
              <w:rPr>
                <w:rFonts w:ascii="Arial" w:hAnsi="Arial" w:cs="Arial"/>
                <w:color w:val="000000"/>
                <w:sz w:val="18"/>
              </w:rPr>
            </w:pPr>
            <w:r>
              <w:rPr>
                <w:rFonts w:cs="Arial" w:ascii="Arial" w:hAnsi="Arial"/>
                <w:color w:val="000000"/>
                <w:sz w:val="18"/>
              </w:rPr>
              <w:t>239%</w:t>
            </w:r>
          </w:p>
        </w:tc>
        <w:tc>
          <w:tcPr>
            <w:tcW w:w="711" w:type="dxa"/>
            <w:tcBorders>
              <w:top w:val="single" w:sz="6" w:space="0" w:color="FFFFFF"/>
              <w:start w:val="dashSmallGap" w:sz="8" w:space="0" w:color="000000"/>
              <w:bottom w:val="single" w:sz="6" w:space="0" w:color="000000"/>
              <w:end w:val="single" w:sz="6" w:space="0" w:color="FFFFFF"/>
            </w:tcBorders>
          </w:tcPr>
          <w:p>
            <w:pPr>
              <w:pStyle w:val="Normal"/>
              <w:jc w:val="end"/>
              <w:rPr>
                <w:rFonts w:ascii="Arial" w:hAnsi="Arial" w:cs="Arial"/>
                <w:color w:val="000000"/>
                <w:sz w:val="18"/>
              </w:rPr>
            </w:pPr>
            <w:r>
              <w:rPr>
                <w:rFonts w:cs="Arial" w:ascii="Arial" w:hAnsi="Arial"/>
                <w:color w:val="000000"/>
                <w:sz w:val="18"/>
              </w:rPr>
              <w:t>0.1%</w:t>
            </w:r>
          </w:p>
        </w:tc>
        <w:tc>
          <w:tcPr>
            <w:tcW w:w="679" w:type="dxa"/>
            <w:tcBorders>
              <w:top w:val="single" w:sz="6" w:space="0" w:color="FFFFFF"/>
              <w:start w:val="single" w:sz="6" w:space="0" w:color="FFFFFF"/>
              <w:bottom w:val="single" w:sz="6" w:space="0" w:color="000000"/>
              <w:end w:val="dashSmallGap" w:sz="8" w:space="0" w:color="000000"/>
            </w:tcBorders>
          </w:tcPr>
          <w:p>
            <w:pPr>
              <w:pStyle w:val="Normal"/>
              <w:jc w:val="end"/>
              <w:rPr>
                <w:rFonts w:ascii="Arial" w:hAnsi="Arial" w:cs="Arial"/>
                <w:color w:val="000000"/>
                <w:sz w:val="18"/>
              </w:rPr>
            </w:pPr>
            <w:r>
              <w:rPr>
                <w:rFonts w:cs="Arial" w:ascii="Arial" w:hAnsi="Arial"/>
                <w:color w:val="000000"/>
                <w:sz w:val="18"/>
              </w:rPr>
              <w:t>0.2%</w:t>
            </w:r>
          </w:p>
        </w:tc>
        <w:tc>
          <w:tcPr>
            <w:tcW w:w="694" w:type="dxa"/>
            <w:tcBorders>
              <w:top w:val="single" w:sz="6" w:space="0" w:color="FFFFFF"/>
              <w:bottom w:val="single" w:sz="6" w:space="0" w:color="000000"/>
              <w:end w:val="single" w:sz="6" w:space="0" w:color="FFFFFF"/>
            </w:tcBorders>
          </w:tcPr>
          <w:p>
            <w:pPr>
              <w:pStyle w:val="Normal"/>
              <w:jc w:val="end"/>
              <w:rPr>
                <w:rFonts w:ascii="Arial" w:hAnsi="Arial" w:cs="Arial"/>
                <w:color w:val="000000"/>
                <w:sz w:val="18"/>
              </w:rPr>
            </w:pPr>
            <w:r>
              <w:rPr>
                <w:rFonts w:cs="Arial" w:ascii="Arial" w:hAnsi="Arial"/>
                <w:color w:val="000000"/>
                <w:sz w:val="18"/>
              </w:rPr>
              <w:t>6%</w:t>
            </w:r>
          </w:p>
        </w:tc>
        <w:tc>
          <w:tcPr>
            <w:tcW w:w="756" w:type="dxa"/>
            <w:tcBorders>
              <w:top w:val="single" w:sz="6" w:space="0" w:color="FFFFFF"/>
              <w:start w:val="single" w:sz="6" w:space="0" w:color="FFFFFF"/>
              <w:bottom w:val="single" w:sz="6" w:space="0" w:color="000000"/>
            </w:tcBorders>
          </w:tcPr>
          <w:p>
            <w:pPr>
              <w:pStyle w:val="Normal"/>
              <w:jc w:val="end"/>
              <w:rPr>
                <w:rFonts w:ascii="Arial" w:hAnsi="Arial" w:cs="Arial"/>
                <w:color w:val="000000"/>
                <w:sz w:val="18"/>
              </w:rPr>
            </w:pPr>
            <w:r>
              <w:rPr>
                <w:rFonts w:cs="Arial" w:ascii="Arial" w:hAnsi="Arial"/>
                <w:color w:val="000000"/>
                <w:sz w:val="18"/>
              </w:rPr>
              <w:t>14%</w:t>
            </w:r>
          </w:p>
        </w:tc>
        <w:tc>
          <w:tcPr>
            <w:tcW w:w="662" w:type="dxa"/>
            <w:tcBorders>
              <w:top w:val="single" w:sz="6" w:space="0" w:color="FFFFFF"/>
              <w:start w:val="dashSmallGap" w:sz="8" w:space="0" w:color="000000"/>
              <w:bottom w:val="single" w:sz="6" w:space="0" w:color="000000"/>
              <w:end w:val="single" w:sz="6" w:space="0" w:color="FFFFFF"/>
            </w:tcBorders>
          </w:tcPr>
          <w:p>
            <w:pPr>
              <w:pStyle w:val="Normal"/>
              <w:jc w:val="end"/>
              <w:rPr>
                <w:rFonts w:ascii="Arial" w:hAnsi="Arial" w:cs="Arial"/>
                <w:color w:val="000000"/>
                <w:sz w:val="18"/>
              </w:rPr>
            </w:pPr>
            <w:r>
              <w:rPr>
                <w:rFonts w:cs="Arial" w:ascii="Arial" w:hAnsi="Arial"/>
                <w:color w:val="000000"/>
                <w:sz w:val="18"/>
              </w:rPr>
              <w:t>11%</w:t>
            </w:r>
          </w:p>
        </w:tc>
        <w:tc>
          <w:tcPr>
            <w:tcW w:w="694" w:type="dxa"/>
            <w:tcBorders>
              <w:top w:val="single" w:sz="6" w:space="0" w:color="FFFFFF"/>
              <w:start w:val="single" w:sz="6" w:space="0" w:color="FFFFFF"/>
              <w:bottom w:val="single" w:sz="6" w:space="0" w:color="000000"/>
              <w:end w:val="double" w:sz="6" w:space="0" w:color="FFFFFF"/>
            </w:tcBorders>
          </w:tcPr>
          <w:p>
            <w:pPr>
              <w:pStyle w:val="Normal"/>
              <w:jc w:val="end"/>
              <w:rPr>
                <w:rFonts w:ascii="Arial" w:hAnsi="Arial" w:cs="Arial"/>
                <w:color w:val="000000"/>
                <w:sz w:val="18"/>
              </w:rPr>
            </w:pPr>
            <w:r>
              <w:rPr>
                <w:rFonts w:cs="Arial" w:ascii="Arial" w:hAnsi="Arial"/>
                <w:color w:val="000000"/>
                <w:sz w:val="18"/>
              </w:rPr>
              <w:t>21%</w:t>
            </w:r>
          </w:p>
        </w:tc>
      </w:tr>
    </w:tbl>
    <w:p>
      <w:pPr>
        <w:pStyle w:val="Normal"/>
        <w:ind w:firstLine="720" w:end="0"/>
        <w:jc w:val="both"/>
        <w:rPr>
          <w:sz w:val="12"/>
        </w:rPr>
      </w:pPr>
      <w:r>
        <w:rPr>
          <w:sz w:val="12"/>
        </w:rPr>
      </w:r>
    </w:p>
    <w:p>
      <w:pPr>
        <w:pStyle w:val="Normal"/>
        <w:jc w:val="both"/>
        <w:rPr>
          <w:sz w:val="16"/>
        </w:rPr>
      </w:pPr>
      <w:r>
        <w:rPr>
          <w:sz w:val="16"/>
        </w:rPr>
        <w:t>Source: Internal Revenue Service</w:t>
      </w:r>
    </w:p>
    <w:p>
      <w:pPr>
        <w:pStyle w:val="Normal"/>
        <w:ind w:firstLine="720" w:end="0"/>
        <w:jc w:val="both"/>
        <w:rPr>
          <w:sz w:val="28"/>
        </w:rPr>
      </w:pPr>
      <w:r>
        <w:rPr>
          <w:sz w:val="28"/>
        </w:rPr>
      </w:r>
    </w:p>
    <w:p>
      <w:pPr>
        <w:pStyle w:val="Normal"/>
        <w:ind w:firstLine="720" w:end="0"/>
        <w:jc w:val="both"/>
        <w:rPr/>
      </w:pPr>
      <w:r>
        <w:rPr>
          <w:sz w:val="28"/>
        </w:rPr>
        <w:t xml:space="preserve">In 1999, fewer than 10 million households – or just 7.5% of tax filers – paid more than three-fifths of all federal income taxes. </w:t>
      </w:r>
      <w:hyperlink r:id="rId8">
        <w:r>
          <w:rPr>
            <w:rStyle w:val="Hyperlink"/>
            <w:sz w:val="28"/>
          </w:rPr>
          <w:t>IRS data</w:t>
        </w:r>
      </w:hyperlink>
      <w:r>
        <w:rPr>
          <w:sz w:val="28"/>
        </w:rPr>
        <w:t xml:space="preserve"> show that from 1993 to 1999 the number of tax returns on incomes of $100,000 and above more than doubled from 4.1 million to 9.5 million – and the amount of taxes paid by this group more than doubled as well, rising to $542 billion from $216 billion. These top earners accounted for nearly 62% of all income-tax payments in 1999 compared with 42% in 1993. Millionaire filers (all 205,124 of them, representing 0.2% of taxpayers) paid a whopping 21% of all federal income taxes in 1999. </w:t>
      </w:r>
    </w:p>
    <w:p>
      <w:pPr>
        <w:pStyle w:val="Normal"/>
        <w:ind w:firstLine="720" w:end="0"/>
        <w:jc w:val="both"/>
        <w:rPr>
          <w:sz w:val="28"/>
        </w:rPr>
      </w:pPr>
      <w:r>
        <w:rPr>
          <w:sz w:val="28"/>
        </w:rPr>
      </w:r>
    </w:p>
    <w:p>
      <w:pPr>
        <w:pStyle w:val="Normal"/>
        <w:ind w:firstLine="720" w:end="0"/>
        <w:jc w:val="both"/>
        <w:rPr>
          <w:sz w:val="28"/>
        </w:rPr>
      </w:pPr>
      <w:r>
        <w:rPr>
          <w:sz w:val="28"/>
        </w:rPr>
        <w:t>Households with incomes of $100,000 to $200,000, whose ranks swelled from 3.1 million to 7.1 million, also paid an increased share of all income taxes (see the nearby table’s far right column). The group earned just slightly more total income than the 16.8 million households making $50,000 to $75,000 but paid 43% more in taxes ($162 billion versus $113 billion).</w:t>
      </w:r>
    </w:p>
    <w:p>
      <w:pPr>
        <w:pStyle w:val="Normal"/>
        <w:ind w:firstLine="720" w:end="0"/>
        <w:jc w:val="both"/>
        <w:rPr>
          <w:sz w:val="28"/>
        </w:rPr>
      </w:pPr>
      <w:r>
        <w:rPr>
          <w:sz w:val="28"/>
        </w:rPr>
      </w:r>
    </w:p>
    <w:p>
      <w:pPr>
        <w:pStyle w:val="Normal"/>
        <w:ind w:firstLine="720" w:end="0"/>
        <w:jc w:val="both"/>
        <w:rPr>
          <w:sz w:val="28"/>
        </w:rPr>
      </w:pPr>
      <w:r>
        <w:rPr>
          <w:sz w:val="28"/>
        </w:rPr>
        <w:t xml:space="preserve">Taxpayers earning $75,000 to $100,000 a year didn’t escape, either, as their income-tax liabilities grew much faster than their aggregate income. Their ranks expanded by 85% to 7.8 million filers in 1999, but their total taxable income rose by only 8%. Nonetheless, the group paid 69% more in income tax ($92 billion versus $54 billion) in 1999. As a percentage of total tax payments, this bracket’s contribution was little changed at 10%. </w:t>
      </w:r>
    </w:p>
    <w:p>
      <w:pPr>
        <w:pStyle w:val="Normal"/>
        <w:ind w:firstLine="720" w:end="0"/>
        <w:jc w:val="both"/>
        <w:rPr>
          <w:sz w:val="28"/>
        </w:rPr>
      </w:pPr>
      <w:r>
        <w:rPr>
          <w:sz w:val="28"/>
        </w:rPr>
      </w:r>
    </w:p>
    <w:p>
      <w:pPr>
        <w:pStyle w:val="Normal"/>
        <w:ind w:firstLine="720" w:end="0"/>
        <w:jc w:val="both"/>
        <w:rPr>
          <w:sz w:val="28"/>
        </w:rPr>
      </w:pPr>
      <w:r>
        <w:rPr>
          <w:sz w:val="28"/>
        </w:rPr>
        <w:t>The 17.3 million households with incomes of $75,000 or more in 1999 represented about one-seventh of all tax returns (13.7%), yet they paid over 72% of all income taxes (almost $634 billion of a total $877 billion). In other words, upper-middle and upper income households have come to shoulder a disproportionately large share of the nation’s income-tax burden.</w:t>
      </w:r>
    </w:p>
    <w:p>
      <w:pPr>
        <w:pStyle w:val="Normal"/>
        <w:ind w:firstLine="720" w:end="0"/>
        <w:jc w:val="both"/>
        <w:rPr>
          <w:sz w:val="28"/>
        </w:rPr>
      </w:pPr>
      <w:r>
        <w:rPr>
          <w:sz w:val="28"/>
        </w:rPr>
      </w:r>
    </w:p>
    <w:p>
      <w:pPr>
        <w:pStyle w:val="Heading2"/>
        <w:ind w:hanging="0" w:start="0"/>
        <w:jc w:val="start"/>
        <w:rPr>
          <w:b/>
          <w:bCs/>
          <w:i/>
          <w:i/>
          <w:iCs/>
          <w:sz w:val="28"/>
        </w:rPr>
      </w:pPr>
      <w:r>
        <w:rPr>
          <w:b/>
          <w:bCs/>
          <w:i/>
          <w:iCs/>
          <w:sz w:val="28"/>
        </w:rPr>
        <w:t>Income Taxes Rose Faster Than Income</w:t>
      </w:r>
    </w:p>
    <w:p>
      <w:pPr>
        <w:pStyle w:val="Normal"/>
        <w:ind w:firstLine="720" w:end="0"/>
        <w:jc w:val="both"/>
        <w:rPr>
          <w:b/>
          <w:bCs/>
          <w:i/>
          <w:i/>
          <w:iCs/>
          <w:sz w:val="28"/>
        </w:rPr>
      </w:pPr>
      <w:r>
        <w:rPr>
          <w:b/>
          <w:bCs/>
          <w:i/>
          <w:iCs/>
          <w:sz w:val="28"/>
        </w:rPr>
      </w:r>
    </w:p>
    <w:p>
      <w:pPr>
        <w:pStyle w:val="Normal"/>
        <w:ind w:firstLine="720" w:end="0"/>
        <w:jc w:val="both"/>
        <w:rPr>
          <w:sz w:val="28"/>
        </w:rPr>
      </w:pPr>
      <w:r>
        <w:rPr>
          <w:sz w:val="28"/>
        </w:rPr>
        <w:t>The percentage of total income taxes paid by earners of less than $75,000, in contrast, fell in the 1990s. These taxpayers handed over $244 billion in income taxes in 1999, down slightly from $239 billion in 1993. But these payments represented only 28% of all income-tax receipts in 1999; those making less than $75,000 a year had contributed 47% of total income taxes in 1993. Again, this percentage drop corresponded with the significantly larger amount of taxes paid by earners of $100,000 or more.</w:t>
      </w:r>
    </w:p>
    <w:p>
      <w:pPr>
        <w:pStyle w:val="Normal"/>
        <w:ind w:firstLine="720" w:end="0"/>
        <w:jc w:val="both"/>
        <w:rPr>
          <w:sz w:val="28"/>
        </w:rPr>
      </w:pPr>
      <w:r>
        <w:rPr>
          <w:sz w:val="28"/>
        </w:rPr>
      </w:r>
    </w:p>
    <w:p>
      <w:pPr>
        <w:pStyle w:val="Normal"/>
        <w:ind w:firstLine="720" w:end="0"/>
        <w:jc w:val="both"/>
        <w:rPr>
          <w:sz w:val="28"/>
        </w:rPr>
      </w:pPr>
      <w:r>
        <w:rPr>
          <w:sz w:val="28"/>
        </w:rPr>
        <w:t>The larger number of upper income households and higher top margin rates are the primary reason that the average rate of taxation rose from 14.1% of total gross adjusted incomes in 1993 to 15.7% in 1999. Higher marginal rates also help to explain why total tax income-tax obligations rose faster in the 1990s than taxable income itself. Taxable income increased by 69% from 1993 to 1999, but income-tax obligations climbed 72%.</w:t>
      </w:r>
    </w:p>
    <w:p>
      <w:pPr>
        <w:pStyle w:val="Normal"/>
        <w:ind w:firstLine="720" w:end="0"/>
        <w:jc w:val="both"/>
        <w:rPr>
          <w:sz w:val="28"/>
        </w:rPr>
      </w:pPr>
      <w:r>
        <w:rPr>
          <w:sz w:val="28"/>
        </w:rPr>
      </w:r>
    </w:p>
    <w:p>
      <w:pPr>
        <w:pStyle w:val="Normal"/>
        <w:ind w:firstLine="720" w:end="0"/>
        <w:jc w:val="both"/>
        <w:rPr>
          <w:sz w:val="28"/>
        </w:rPr>
      </w:pPr>
      <w:r>
        <w:rPr>
          <w:sz w:val="28"/>
        </w:rPr>
        <w:t>In a way, you’ve got to admire Bill Clinton’s political acumen. He knew precisely what he was doing in guilefully pushing his tax hike, for the brunt of the increase hit upper-middle to upper income taxpayers. This explains lack of public furor over the 1993 tax increase. Top earners are relatively few in number, and raising their taxes fed the appetite to exact more tribute from “the rich” and stoked the fires of class warfare.</w:t>
      </w:r>
    </w:p>
    <w:p>
      <w:pPr>
        <w:pStyle w:val="Normal"/>
        <w:ind w:firstLine="720" w:end="0"/>
        <w:jc w:val="both"/>
        <w:rPr>
          <w:sz w:val="28"/>
        </w:rPr>
      </w:pPr>
      <w:r>
        <w:rPr>
          <w:sz w:val="28"/>
        </w:rPr>
        <w:object w:dxaOrig="9540" w:dyaOrig="552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3.6pt;margin-top:21.1pt;width:442.8pt;height:256.2pt;mso-wrap-distance-left:9.05pt;mso-wrap-distance-right:9.05pt;mso-position-horizontal-relative:text;mso-position-vertical-relative:text" filled="f" o:ole="">
            <v:imagedata r:id="rId10" o:title=""/>
            <w10:wrap type="topAndBottom"/>
          </v:shape>
          <o:OLEObject Type="Embed" ProgID="" ShapeID="ole_rId9" DrawAspect="Content" ObjectID="_2107588789" r:id="rId9"/>
        </w:object>
      </w:r>
    </w:p>
    <w:p>
      <w:pPr>
        <w:pStyle w:val="BodyText"/>
        <w:ind w:firstLine="720" w:end="0"/>
        <w:rPr/>
      </w:pPr>
      <w:r>
        <w:rPr>
          <w:rFonts w:cs="Arial" w:ascii="Arial" w:hAnsi="Arial"/>
          <w:sz w:val="16"/>
        </w:rPr>
        <w:t xml:space="preserve">Chart Source: </w:t>
      </w:r>
      <w:hyperlink r:id="rId11">
        <w:r>
          <w:rPr>
            <w:rStyle w:val="Hyperlink"/>
            <w:rFonts w:cs="Arial" w:ascii="Arial" w:hAnsi="Arial"/>
            <w:sz w:val="16"/>
          </w:rPr>
          <w:t>EcoWin</w:t>
        </w:r>
      </w:hyperlink>
      <w:r>
        <w:rPr>
          <w:rFonts w:cs="Arial" w:ascii="Arial" w:hAnsi="Arial"/>
          <w:sz w:val="16"/>
        </w:rPr>
        <w:t>; Data Sources: U.S. Commerce Dept., U.S. Treasury, NBER</w:t>
      </w:r>
    </w:p>
    <w:p>
      <w:pPr>
        <w:pStyle w:val="Normal"/>
        <w:ind w:firstLine="720" w:end="0"/>
        <w:jc w:val="both"/>
        <w:rPr>
          <w:rFonts w:ascii="Arial" w:hAnsi="Arial" w:cs="Arial"/>
          <w:sz w:val="28"/>
        </w:rPr>
      </w:pPr>
      <w:r>
        <w:rPr>
          <w:rFonts w:cs="Arial" w:ascii="Arial" w:hAnsi="Arial"/>
          <w:sz w:val="28"/>
        </w:rPr>
      </w:r>
    </w:p>
    <w:p>
      <w:pPr>
        <w:pStyle w:val="Normal"/>
        <w:ind w:firstLine="720" w:end="0"/>
        <w:jc w:val="both"/>
        <w:rPr>
          <w:sz w:val="28"/>
        </w:rPr>
      </w:pPr>
      <w:r>
        <w:rPr>
          <w:sz w:val="28"/>
        </w:rPr>
        <w:t>Clinton’s tax hike, with its new top marginal rates of 36% and 39.6%, combined with the sharp rise in earnings by higher income households to produce the surge in federal revenues of the 1990s. Total receipts rose from 17.6% of GDP in fiscal 1993 to a record 20.6% in fiscal 2000. Federal outlays, in contrast, have generally declined since an upturn in 1990-91. Outlays actually peaked at about 23% of GDP in the first half of 1982. By the second quarter of this year, spending had dropped to nearly 18% of GDP.</w:t>
      </w:r>
    </w:p>
    <w:p>
      <w:pPr>
        <w:pStyle w:val="Normal"/>
        <w:ind w:firstLine="720" w:end="0"/>
        <w:jc w:val="both"/>
        <w:rPr>
          <w:sz w:val="28"/>
        </w:rPr>
      </w:pPr>
      <w:r>
        <w:rPr>
          <w:sz w:val="28"/>
        </w:rPr>
      </w:r>
    </w:p>
    <w:p>
      <w:pPr>
        <w:pStyle w:val="BodyTextIndent"/>
        <w:rPr/>
      </w:pPr>
      <w:r>
        <w:rPr/>
        <w:t xml:space="preserve">The data for federal receipts and outlays suggest that government spending isn’t a major determinant of economic expansion or contradiction. Taxation, though, does directly bear on economic performance. Taxes as a GDP percentage rise in good economic times before hitting a wall – a rate above which the economy can’t cope with the heavy tax burden. (Keep in mind that special factors, such as the 1973 oil embargo, also affected GDP.) Bigger and bigger tax takes simply don’t allow for sufficient retained earnings to keep an economic expansion going. </w:t>
      </w:r>
    </w:p>
    <w:p>
      <w:pPr>
        <w:pStyle w:val="BodyTextIndent"/>
        <w:rPr/>
      </w:pPr>
      <w:r>
        <w:rPr/>
      </w:r>
    </w:p>
    <w:p>
      <w:pPr>
        <w:pStyle w:val="BodyTextIndent"/>
        <w:rPr/>
      </w:pPr>
      <w:r>
        <w:rPr/>
        <w:t>While the Clinton administration’s tax policies created prosperity for government, they ultimately caused a downturn in the private sector, which slipped into recession in the first quarter of 2001. The fiscal surpluses produced by higher marginal tax rates raised government saving at the expense of private saving. Ergo, as federal debt fell, private-sector debt rose.</w:t>
      </w:r>
    </w:p>
    <w:p>
      <w:pPr>
        <w:pStyle w:val="BodyText"/>
        <w:spacing w:lineRule="auto" w:line="240"/>
        <w:rPr/>
      </w:pPr>
      <w:r>
        <w:rPr/>
      </w:r>
    </w:p>
    <w:p>
      <w:pPr>
        <w:pStyle w:val="BodyText"/>
        <w:spacing w:lineRule="auto" w:line="240"/>
        <w:ind w:firstLine="720" w:end="0"/>
        <w:jc w:val="both"/>
        <w:rPr/>
      </w:pPr>
      <w:r>
        <w:rPr/>
        <w:t xml:space="preserve">In 2000, for instance, federal debt decreased at an 8.0% annual rate, while total household debt increased 8.4% and business debt climbed 10.0%. By the second quarter of this year, according to </w:t>
      </w:r>
      <w:hyperlink r:id="rId12">
        <w:r>
          <w:rPr>
            <w:rStyle w:val="Hyperlink"/>
          </w:rPr>
          <w:t>Federal Reserve data</w:t>
        </w:r>
      </w:hyperlink>
      <w:r>
        <w:rPr/>
        <w:t xml:space="preserve">, federal debt was down 6.4%, while household debt was up 9.2% and business debt was 7.2% higher. In addition, </w:t>
      </w:r>
      <w:hyperlink r:id="rId13">
        <w:r>
          <w:rPr>
            <w:rStyle w:val="Hyperlink"/>
          </w:rPr>
          <w:t>consumer debt-service payments</w:t>
        </w:r>
      </w:hyperlink>
      <w:r>
        <w:rPr/>
        <w:t xml:space="preserve">, apart from mortgages, increased from 5.97% of disposable income at the end of 1992 to 7.79% in the second quarter of this year. </w:t>
      </w:r>
    </w:p>
    <w:p>
      <w:pPr>
        <w:pStyle w:val="Normal"/>
        <w:ind w:firstLine="720" w:end="0"/>
        <w:jc w:val="both"/>
        <w:rPr>
          <w:sz w:val="28"/>
        </w:rPr>
      </w:pPr>
      <w:r>
        <w:rPr>
          <w:sz w:val="28"/>
        </w:rPr>
        <w:object w:dxaOrig="9540" w:dyaOrig="55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3.6pt;margin-top:19pt;width:435.6pt;height:252.05pt;mso-wrap-distance-left:9.05pt;mso-wrap-distance-right:9.05pt;mso-position-horizontal-relative:text;mso-position-vertical-relative:text" filled="f" o:ole="">
            <v:imagedata r:id="rId15" o:title=""/>
            <w10:wrap type="topAndBottom"/>
          </v:shape>
          <o:OLEObject Type="Embed" ProgID="" ShapeID="ole_rId14" DrawAspect="Content" ObjectID="_1568025562" r:id="rId14"/>
        </w:object>
      </w:r>
    </w:p>
    <w:p>
      <w:pPr>
        <w:pStyle w:val="BodyTextIndent"/>
        <w:rPr/>
      </w:pPr>
      <w:r>
        <w:rPr>
          <w:rFonts w:cs="Arial" w:ascii="Arial" w:hAnsi="Arial"/>
          <w:sz w:val="16"/>
        </w:rPr>
        <w:t xml:space="preserve">Chart Source: </w:t>
      </w:r>
      <w:hyperlink r:id="rId16">
        <w:r>
          <w:rPr>
            <w:rStyle w:val="Hyperlink"/>
            <w:rFonts w:cs="Arial" w:ascii="Arial" w:hAnsi="Arial"/>
            <w:sz w:val="16"/>
          </w:rPr>
          <w:t>EcoWin</w:t>
        </w:r>
      </w:hyperlink>
      <w:r>
        <w:rPr>
          <w:rFonts w:cs="Arial" w:ascii="Arial" w:hAnsi="Arial"/>
          <w:sz w:val="16"/>
        </w:rPr>
        <w:t>; Data Sources: U.S. Commerce Dept., U.S. Treasury, NBER</w:t>
      </w:r>
    </w:p>
    <w:p>
      <w:pPr>
        <w:pStyle w:val="Normal"/>
        <w:ind w:firstLine="720" w:end="0"/>
        <w:jc w:val="both"/>
        <w:rPr>
          <w:rFonts w:ascii="Arial" w:hAnsi="Arial" w:cs="Arial"/>
          <w:sz w:val="28"/>
        </w:rPr>
      </w:pPr>
      <w:r>
        <w:rPr>
          <w:rFonts w:cs="Arial" w:ascii="Arial" w:hAnsi="Arial"/>
          <w:sz w:val="28"/>
        </w:rPr>
      </w:r>
    </w:p>
    <w:p>
      <w:pPr>
        <w:pStyle w:val="BodyTextIndent"/>
        <w:rPr/>
      </w:pPr>
      <w:r>
        <w:rPr/>
        <w:t>The accompanying charts depict the relationship between the federal tax burden and economic contractions (shaded areas), as defined by the National Bureau of Economic Research, and the absence of a clear correlation between government spending and economic performance. With the prospect of slower business and consumer demand and less surplus income available for investment, companies naturally pull in their horns. Capital spending is deferred; fewer employees are hired, and cost-cutting is the mantra of the day as companies look to protect their bottom lines.</w:t>
      </w:r>
    </w:p>
    <w:p>
      <w:pPr>
        <w:pStyle w:val="Normal"/>
        <w:ind w:firstLine="720" w:end="0"/>
        <w:jc w:val="both"/>
        <w:rPr>
          <w:sz w:val="28"/>
        </w:rPr>
      </w:pPr>
      <w:r>
        <w:rPr>
          <w:sz w:val="28"/>
        </w:rPr>
      </w:r>
    </w:p>
    <w:p>
      <w:pPr>
        <w:pStyle w:val="BodyTextIndent"/>
        <w:rPr/>
      </w:pPr>
      <w:r>
        <w:rPr/>
        <w:t xml:space="preserve">The problem can easily become a vicious cycle: In cutting costs, companies lay off workers; unemployment climbs, and rising joblessness undermines consumer confidence. Consumer spending dips, exacerbating businesses’ bottom-line woes. The cycle can keep replaying itself until lawmakers recognize the need for fiscal reform. An economy can bear only so much taxation before growth is extinguished. </w:t>
      </w:r>
    </w:p>
    <w:p>
      <w:pPr>
        <w:pStyle w:val="BodyTextIndent"/>
        <w:rPr/>
      </w:pPr>
      <w:r>
        <w:rPr/>
      </w:r>
    </w:p>
    <w:p>
      <w:pPr>
        <w:pStyle w:val="BodyTextIndent"/>
        <w:ind w:hanging="0" w:end="0"/>
        <w:rPr>
          <w:b/>
          <w:i/>
          <w:i/>
        </w:rPr>
      </w:pPr>
      <w:r>
        <w:rPr>
          <w:b/>
          <w:i/>
        </w:rPr>
        <w:t>Democrats Lay a Smokescreen</w:t>
      </w:r>
    </w:p>
    <w:p>
      <w:pPr>
        <w:pStyle w:val="Normal"/>
        <w:ind w:firstLine="720" w:end="0"/>
        <w:jc w:val="both"/>
        <w:rPr>
          <w:b/>
          <w:i/>
          <w:i/>
          <w:sz w:val="28"/>
        </w:rPr>
      </w:pPr>
      <w:r>
        <w:rPr>
          <w:b/>
          <w:i/>
          <w:sz w:val="28"/>
        </w:rPr>
      </w:r>
    </w:p>
    <w:p>
      <w:pPr>
        <w:pStyle w:val="Normal"/>
        <w:ind w:firstLine="720" w:end="0"/>
        <w:jc w:val="both"/>
        <w:rPr>
          <w:sz w:val="28"/>
        </w:rPr>
      </w:pPr>
      <w:r>
        <w:rPr>
          <w:sz w:val="28"/>
        </w:rPr>
        <w:t>The Senate seems in no rush to vote on a stimulus package. Majority Leader Tom Daschle expects to get a bill to the president by Thanksgiving. Odds are the Democrat-led Senate will resist many of the tax-cut provisions of the House-approved bill. Instead, Senate Democrats want to extend unemployment benefits, including a federal subsidy to help the jobless keep their health insurance, and raise public-works spending. It ultimately will be left to conferees to hammer out a compromise.</w:t>
      </w:r>
    </w:p>
    <w:p>
      <w:pPr>
        <w:pStyle w:val="Normal"/>
        <w:ind w:firstLine="720" w:end="0"/>
        <w:jc w:val="both"/>
        <w:rPr>
          <w:sz w:val="28"/>
        </w:rPr>
      </w:pPr>
      <w:r>
        <w:rPr>
          <w:sz w:val="28"/>
        </w:rPr>
      </w:r>
    </w:p>
    <w:p>
      <w:pPr>
        <w:pStyle w:val="Normal"/>
        <w:ind w:firstLine="720" w:end="0"/>
        <w:jc w:val="both"/>
        <w:rPr>
          <w:sz w:val="28"/>
        </w:rPr>
      </w:pPr>
      <w:r>
        <w:rPr>
          <w:sz w:val="28"/>
        </w:rPr>
        <w:t>What must be understood in this partisan dispute is that the Democrats’ arguments against tax cuts are a smokescreen. They have said, for instance, that tax cuts would raise interest rates. Fact is, they are only using this argument, which they know strikes a nerve in voters, to disguise their true intent – namely, to keep as much money in Washington’s hands as possible. For example, Congress just recently raised farm subsidies by 70% to $170 billion over the next 10 years. So much for “fiscal discipline.” On Capitol Hill, “fiscal discipline” is now a code word for “big spending.”</w:t>
      </w:r>
    </w:p>
    <w:p>
      <w:pPr>
        <w:pStyle w:val="Normal"/>
        <w:ind w:firstLine="720" w:end="0"/>
        <w:jc w:val="both"/>
        <w:rPr>
          <w:sz w:val="28"/>
        </w:rPr>
      </w:pPr>
      <w:r>
        <w:rPr>
          <w:sz w:val="28"/>
        </w:rPr>
      </w:r>
    </w:p>
    <w:p>
      <w:pPr>
        <w:pStyle w:val="Normal"/>
        <w:ind w:firstLine="720" w:end="0"/>
        <w:jc w:val="both"/>
        <w:rPr>
          <w:sz w:val="28"/>
        </w:rPr>
      </w:pPr>
      <w:r>
        <w:rPr>
          <w:sz w:val="28"/>
        </w:rPr>
        <w:t>While the House tax package is a step in the right direction, it’s a far cry from the thorough overhaul of the tax code needed to put the economy back on an even keel. Lawmakers must be reminded that government is supposed to be the servant of the people – and not vice versa. That will take leadership that only the president can provide – leadership on fiscal reform that goes far beyond anything seen thus far from the Bush administration.</w:t>
      </w:r>
    </w:p>
    <w:p>
      <w:pPr>
        <w:pStyle w:val="Normal"/>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17"/>
      <w:type w:val="nextPage"/>
      <w:pgSz w:w="12240" w:h="15840"/>
      <w:pgMar w:left="1440" w:right="1296" w:gutter="0" w:header="0" w:top="1152"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http://www.ecowin.com/" TargetMode="External"/><Relationship Id="rId5" Type="http://schemas.openxmlformats.org/officeDocument/2006/relationships/oleObject" Target="embeddings/oleObject2.bin"/><Relationship Id="rId6" Type="http://schemas.openxmlformats.org/officeDocument/2006/relationships/image" Target="media/image2.wmf"/><Relationship Id="rId7" Type="http://schemas.openxmlformats.org/officeDocument/2006/relationships/hyperlink" Target="http://www.ecowin.com/" TargetMode="External"/><Relationship Id="rId8" Type="http://schemas.openxmlformats.org/officeDocument/2006/relationships/hyperlink" Target="http://www.irs.gov/tax_stats/soi/ind_agi.html" TargetMode="External"/><Relationship Id="rId9" Type="http://schemas.openxmlformats.org/officeDocument/2006/relationships/oleObject" Target="embeddings/oleObject3.bin"/><Relationship Id="rId10" Type="http://schemas.openxmlformats.org/officeDocument/2006/relationships/image" Target="media/image3.wmf"/><Relationship Id="rId11" Type="http://schemas.openxmlformats.org/officeDocument/2006/relationships/hyperlink" Target="http://www.ecowin.com/" TargetMode="External"/><Relationship Id="rId12" Type="http://schemas.openxmlformats.org/officeDocument/2006/relationships/hyperlink" Target="http://www.federalreserve.gov/releases/Z1/Current/" TargetMode="External"/><Relationship Id="rId13" Type="http://schemas.openxmlformats.org/officeDocument/2006/relationships/hyperlink" Target="http://www.federalreserve.gov/releases/housedebt/default.htm" TargetMode="External"/><Relationship Id="rId14" Type="http://schemas.openxmlformats.org/officeDocument/2006/relationships/oleObject" Target="embeddings/oleObject4.bin"/><Relationship Id="rId15" Type="http://schemas.openxmlformats.org/officeDocument/2006/relationships/image" Target="media/image4.wmf"/><Relationship Id="rId16" Type="http://schemas.openxmlformats.org/officeDocument/2006/relationships/hyperlink" Target="http://www.ecowin.com/" TargetMode="Externa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2001-10-26T13:26:00Z</dcterms:created>
  <dc:creator>Susan Varga</dc:creator>
  <dc:description/>
  <dc:language>en-CA</dc:language>
  <cp:lastModifiedBy>svarga</cp:lastModifiedBy>
  <cp:lastPrinted>2001-10-24T17:35:00Z</cp:lastPrinted>
  <dcterms:modified xsi:type="dcterms:W3CDTF">2001-10-26T13:32:00Z</dcterms:modified>
  <cp:revision>3</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