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t>Kudlow's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Marching Ahead</w:t>
      </w:r>
    </w:p>
    <w:p>
      <w:pPr>
        <w:pStyle w:val="Heading4"/>
        <w:ind w:hanging="0" w:start="0"/>
        <w:rPr>
          <w:sz w:val="28"/>
        </w:rPr>
      </w:pPr>
      <w:r>
        <w:rPr>
          <w:sz w:val="28"/>
        </w:rPr>
        <w:t>By Lawrence Kudlow and John Park</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October 22,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BodyText"/>
        <w:spacing w:lineRule="auto" w:line="240"/>
        <w:jc w:val="both"/>
        <w:rPr>
          <w:u w:val="single"/>
        </w:rPr>
      </w:pPr>
      <w:r>
        <w:rPr>
          <w:u w:val="single"/>
        </w:rPr>
      </w:r>
    </w:p>
    <w:p>
      <w:pPr>
        <w:pStyle w:val="Heading1"/>
        <w:ind w:hanging="0" w:start="0"/>
        <w:rPr>
          <w:rFonts w:ascii="Arial" w:hAnsi="Arial" w:cs="Arial"/>
        </w:rPr>
      </w:pPr>
      <w:r>
        <w:rPr>
          <w:rFonts w:cs="Arial" w:ascii="Arial" w:hAnsi="Arial"/>
        </w:rPr>
        <w:t>LEI Outlook: Not So Gloomy</w:t>
      </w:r>
    </w:p>
    <w:p>
      <w:pPr>
        <w:pStyle w:val="Normal"/>
        <w:rPr>
          <w:rFonts w:ascii="Arial" w:hAnsi="Arial" w:cs="Arial"/>
          <w:sz w:val="28"/>
        </w:rPr>
      </w:pPr>
      <w:r>
        <w:rPr>
          <w:rFonts w:cs="Arial" w:ascii="Arial" w:hAnsi="Arial"/>
          <w:sz w:val="28"/>
        </w:rPr>
      </w:r>
    </w:p>
    <w:p>
      <w:pPr>
        <w:pStyle w:val="BodyText"/>
        <w:spacing w:lineRule="auto" w:line="240"/>
        <w:ind w:firstLine="720" w:end="0"/>
        <w:jc w:val="both"/>
        <w:rPr>
          <w:rFonts w:ascii="Arial" w:hAnsi="Arial" w:cs="Arial"/>
        </w:rPr>
      </w:pPr>
      <w:r>
        <w:drawing>
          <wp:anchor behindDoc="0" distT="0" distB="0" distL="114935" distR="114935" simplePos="0" locked="0" layoutInCell="0" allowOverlap="1" relativeHeight="8">
            <wp:simplePos x="0" y="0"/>
            <wp:positionH relativeFrom="column">
              <wp:posOffset>-114300</wp:posOffset>
            </wp:positionH>
            <wp:positionV relativeFrom="paragraph">
              <wp:posOffset>822960</wp:posOffset>
            </wp:positionV>
            <wp:extent cx="4077970" cy="2900045"/>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9" r="-7" b="-9"/>
                    <a:stretch>
                      <a:fillRect/>
                    </a:stretch>
                  </pic:blipFill>
                  <pic:spPr bwMode="auto">
                    <a:xfrm>
                      <a:off x="0" y="0"/>
                      <a:ext cx="4077970" cy="2900045"/>
                    </a:xfrm>
                    <a:prstGeom prst="rect">
                      <a:avLst/>
                    </a:prstGeom>
                    <a:noFill/>
                  </pic:spPr>
                </pic:pic>
              </a:graphicData>
            </a:graphic>
          </wp:anchor>
        </w:drawing>
      </w:r>
      <w:r>
        <w:rPr>
          <w:rFonts w:cs="Arial" w:ascii="Arial" w:hAnsi="Arial"/>
        </w:rPr>
        <w:t>After three straight monthly gains, the Leading Economic Indicators (LEI) stumbled in the last two months; a sharp 0.5% drop in September followed a 0.1% decline in August.    The data seem decidedly gloomy on the surface, but further inspection reveals reasons for optimism.  The 4-quarter change in the LEI with a 2-quarter lead is highly correlated with the 4-quarter change in real GDP.  Indeed, since 1970, the correlation in 0.77 (0.59 R-squared).  This relationship implies that growth hit bottom in 2001 Q3 and is now on the rebound.  The timing of the rebound may be somewhat inexact (our T-bill based forecast calls for the rebound to begin in 2002 Q1), but the up arrow is becoming more distinct.</w:t>
      </w:r>
    </w:p>
    <w:p>
      <w:pPr>
        <w:pStyle w:val="BodyText"/>
        <w:spacing w:lineRule="auto" w:line="240"/>
        <w:ind w:firstLine="720" w:end="0"/>
        <w:jc w:val="both"/>
        <w:rPr>
          <w:rFonts w:ascii="Arial" w:hAnsi="Arial" w:cs="Arial"/>
        </w:rPr>
      </w:pPr>
      <w:r>
        <w:rPr>
          <w:rFonts w:cs="Arial" w:ascii="Arial" w:hAnsi="Arial"/>
        </w:rPr>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b/>
          <w:bCs/>
          <w:u w:val="single"/>
        </w:rPr>
      </w:pPr>
      <w:r>
        <w:rPr>
          <w:rFonts w:cs="Arial" w:ascii="Arial" w:hAnsi="Arial"/>
          <w:b/>
          <w:bCs/>
          <w:u w:val="single"/>
        </w:rPr>
        <w:t>Stocks Responding to Better Profit Margins</w:t>
      </w:r>
    </w:p>
    <w:p>
      <w:pPr>
        <w:pStyle w:val="BodyText"/>
        <w:spacing w:lineRule="auto" w:line="240"/>
        <w:jc w:val="both"/>
        <w:rPr>
          <w:rFonts w:ascii="Arial" w:hAnsi="Arial" w:cs="Arial"/>
          <w:b/>
          <w:bCs/>
          <w:u w:val="single"/>
        </w:rPr>
      </w:pPr>
      <w:r>
        <w:rPr>
          <w:rFonts w:cs="Arial" w:ascii="Arial" w:hAnsi="Arial"/>
          <w:b/>
          <w:bCs/>
          <w:u w:val="single"/>
        </w:rPr>
      </w:r>
    </w:p>
    <w:p>
      <w:pPr>
        <w:pStyle w:val="BodyText"/>
        <w:spacing w:lineRule="auto" w:line="240"/>
        <w:jc w:val="both"/>
        <w:rPr>
          <w:rFonts w:ascii="Arial" w:hAnsi="Arial" w:cs="Arial"/>
        </w:rPr>
      </w:pPr>
      <w:r>
        <w:rPr>
          <w:rFonts w:cs="Arial" w:ascii="Arial" w:hAnsi="Arial"/>
        </w:rPr>
        <w:tab/>
        <w:t xml:space="preserve">Stocks appear to be recovering from Alan Greenspan’s austere Congressional testimony comments on liquidity last week.  After dropping </w:t>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rPr>
      </w:pPr>
      <w:r>
        <w:rPr>
          <w:rFonts w:cs="Arial" w:ascii="Arial" w:hAnsi="Arial"/>
        </w:rPr>
        <w:t xml:space="preserve">3% in the immediate aftermath of the maestro’s testimony, markets have come back nicely Friday afternoon and today.  </w:t>
      </w:r>
    </w:p>
    <w:p>
      <w:pPr>
        <w:pStyle w:val="BodyText"/>
        <w:spacing w:lineRule="auto" w:line="240"/>
        <w:jc w:val="both"/>
        <w:rPr>
          <w:rFonts w:ascii="Arial" w:hAnsi="Arial" w:cs="Arial"/>
        </w:rPr>
      </w:pPr>
      <w:r>
        <w:rPr>
          <w:rFonts w:cs="Arial" w:ascii="Arial" w:hAnsi="Arial"/>
        </w:rPr>
      </w:r>
    </w:p>
    <w:p>
      <w:pPr>
        <w:pStyle w:val="BodyText"/>
        <w:spacing w:lineRule="auto" w:line="240"/>
        <w:jc w:val="both"/>
        <w:rPr/>
      </w:pPr>
      <w:r>
        <w:rPr>
          <w:rFonts w:cs="Arial" w:ascii="Arial" w:hAnsi="Arial"/>
        </w:rPr>
        <w:tab/>
        <w:t xml:space="preserve">One reason for this equity rebound could be the improvement in profit margins gleaned from recent CPI and PPI reports.  Particularly the producer </w:t>
      </w:r>
      <w:r>
        <w:drawing>
          <wp:anchor behindDoc="0" distT="0" distB="0" distL="0" distR="114935" simplePos="0" locked="0" layoutInCell="0" allowOverlap="1" relativeHeight="9">
            <wp:simplePos x="0" y="0"/>
            <wp:positionH relativeFrom="column">
              <wp:align>left</wp:align>
            </wp:positionH>
            <wp:positionV relativeFrom="paragraph">
              <wp:posOffset>457200</wp:posOffset>
            </wp:positionV>
            <wp:extent cx="4069080" cy="2872740"/>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9" r="-7" b="-9"/>
                    <a:stretch>
                      <a:fillRect/>
                    </a:stretch>
                  </pic:blipFill>
                  <pic:spPr bwMode="auto">
                    <a:xfrm>
                      <a:off x="0" y="0"/>
                      <a:ext cx="4069080" cy="2872740"/>
                    </a:xfrm>
                    <a:prstGeom prst="rect">
                      <a:avLst/>
                    </a:prstGeom>
                    <a:noFill/>
                  </pic:spPr>
                </pic:pic>
              </a:graphicData>
            </a:graphic>
          </wp:anchor>
        </w:drawing>
      </w:r>
      <w:r>
        <w:rPr>
          <w:rFonts w:cs="Arial" w:ascii="Arial" w:hAnsi="Arial"/>
        </w:rPr>
        <w:t xml:space="preserve">price report, where the twelve-month change in finished goods prices (1.6%) exceeded the twelve-month decline (-14.3%) in crude material commodity prices.  This marks the fourth consecutive month where input prices came in below final goods prices. Buying high and selling low is unprofitable.  Buying low and selling higher is much better. Prior to this, input price changes exceeded finished goods price changes for 22 consecutive months.  Obviously, energy and industrial commodity price drops are the swing factors in this improving profit margin scenario.  As an aside, the finished goods PPI is now coming in below the all-items CPI.  In this sense producer costs are less than consumer prices, a favorable development for profits.  </w:t>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rPr>
      </w:pPr>
      <w:r>
        <w:rPr>
          <w:rFonts w:cs="Arial" w:ascii="Arial" w:hAnsi="Arial"/>
        </w:rPr>
        <w:tab/>
        <w:t xml:space="preserve">What remains to be seen on the profits front is when sales revenue volume will pick up.  In other words, the margins are favorable, but sales are not.  However, our forecast for 2002 looks for a return to roughly 5% nominal GDP growth.  This is a proxy for total spending and sales in the economy.  Over the past four quarters money GDP increased about 3½%, and only 2.4% in the latest Q2 report.  So a 2002 pick-up to 5% would mark a decent upturn in sales.  More sales at positive profit margins is a big plus for the stock market.   </w:t>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b/>
          <w:bCs/>
          <w:u w:val="single"/>
        </w:rPr>
      </w:pPr>
      <w:r>
        <w:rPr>
          <w:rFonts w:cs="Arial" w:ascii="Arial" w:hAnsi="Arial"/>
          <w:b/>
          <w:bCs/>
          <w:u w:val="single"/>
        </w:rPr>
      </w:r>
    </w:p>
    <w:p>
      <w:pPr>
        <w:pStyle w:val="BodyText"/>
        <w:spacing w:lineRule="auto" w:line="240"/>
        <w:jc w:val="both"/>
        <w:rPr>
          <w:rFonts w:ascii="Arial" w:hAnsi="Arial" w:cs="Arial"/>
          <w:b/>
          <w:bCs/>
          <w:u w:val="single"/>
        </w:rPr>
      </w:pPr>
      <w:r>
        <w:rPr>
          <w:rFonts w:cs="Arial" w:ascii="Arial" w:hAnsi="Arial"/>
          <w:b/>
          <w:bCs/>
          <w:u w:val="single"/>
        </w:rPr>
      </w:r>
    </w:p>
    <w:p>
      <w:pPr>
        <w:pStyle w:val="BodyText"/>
        <w:spacing w:lineRule="auto" w:line="240"/>
        <w:jc w:val="both"/>
        <w:rPr>
          <w:rFonts w:ascii="Arial" w:hAnsi="Arial" w:cs="Arial"/>
          <w:b/>
          <w:bCs/>
          <w:u w:val="single"/>
        </w:rPr>
      </w:pPr>
      <w:r>
        <w:rPr>
          <w:rFonts w:cs="Arial" w:ascii="Arial" w:hAnsi="Arial"/>
          <w:b/>
          <w:bCs/>
          <w:u w:val="single"/>
        </w:rPr>
      </w:r>
    </w:p>
    <w:p>
      <w:pPr>
        <w:pStyle w:val="BodyText"/>
        <w:spacing w:lineRule="auto" w:line="240"/>
        <w:jc w:val="both"/>
        <w:rPr>
          <w:rFonts w:ascii="Arial" w:hAnsi="Arial" w:cs="Arial"/>
          <w:b/>
          <w:bCs/>
          <w:u w:val="single"/>
        </w:rPr>
      </w:pPr>
      <w:r>
        <w:rPr>
          <w:rFonts w:cs="Arial" w:ascii="Arial" w:hAnsi="Arial"/>
          <w:b/>
          <w:bCs/>
          <w:u w:val="single"/>
        </w:rPr>
        <w:t>Gold and Liquidity</w:t>
      </w:r>
    </w:p>
    <w:p>
      <w:pPr>
        <w:pStyle w:val="BodyText"/>
        <w:spacing w:lineRule="auto" w:line="240"/>
        <w:jc w:val="both"/>
        <w:rPr>
          <w:rFonts w:ascii="Arial" w:hAnsi="Arial" w:cs="Arial"/>
          <w:b/>
          <w:bCs/>
          <w:u w:val="single"/>
        </w:rPr>
      </w:pPr>
      <w:r>
        <w:rPr>
          <w:rFonts w:cs="Arial" w:ascii="Arial" w:hAnsi="Arial"/>
          <w:b/>
          <w:bCs/>
          <w:u w:val="single"/>
        </w:rPr>
      </w:r>
    </w:p>
    <w:p>
      <w:pPr>
        <w:pStyle w:val="BodyText"/>
        <w:spacing w:lineRule="auto" w:line="240"/>
        <w:jc w:val="both"/>
        <w:rPr>
          <w:rFonts w:ascii="Arial" w:hAnsi="Arial" w:cs="Arial"/>
        </w:rPr>
      </w:pPr>
      <w:r>
        <w:rPr>
          <w:rFonts w:cs="Arial" w:ascii="Arial" w:hAnsi="Arial"/>
        </w:rPr>
        <w:tab/>
        <w:t xml:space="preserve">Through October 22, the Fed’s emergency RP cash addition stands at $26.5 billion on an average overnight basis, down from $34.5 billion a week ago on October 15.  The peak liquidity add was $81 billion right after the 9/11 bombings.  </w:t>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rPr>
      </w:pPr>
      <w:r>
        <w:rPr>
          <w:rFonts w:cs="Arial" w:ascii="Arial" w:hAnsi="Arial"/>
        </w:rPr>
        <w:tab/>
        <w:t xml:space="preserve">I have taken the view that the temporary liquidity increase should be made permanent, at least for several months, or until commodity indexes show signs of stability.  This condition has not yet been met, as the CRB and JoC indexes continue to slip.  Ditto for gold, whose monetary properties are frequently under-rated.  The precious metal has recently fallen back to $275, after peaking in the mid-$290s in late September. </w:t>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rPr>
      </w:pPr>
      <w:r>
        <w:rPr>
          <w:rFonts w:cs="Arial" w:ascii="Arial" w:hAnsi="Arial"/>
        </w:rPr>
        <w:tab/>
        <w:t xml:space="preserve">There’s no question that the Fed has injected more bank reserves since 9/11, and this is a good thing.  Would that they had done it a year ago.  But the question remains whether the central bank’s provision of liquidity meets the economy’s strong liquidity demands in what is undoubtedly an environment of deflationary recession.  </w:t>
      </w:r>
    </w:p>
    <w:p>
      <w:pPr>
        <w:pStyle w:val="BodyText"/>
        <w:spacing w:lineRule="auto" w:line="240"/>
        <w:jc w:val="both"/>
        <w:rPr>
          <w:rFonts w:ascii="Arial" w:hAnsi="Arial" w:cs="Arial"/>
        </w:rPr>
      </w:pPr>
      <w:r>
        <w:rPr>
          <w:rFonts w:cs="Arial" w:ascii="Arial" w:hAnsi="Arial"/>
        </w:rPr>
      </w:r>
    </w:p>
    <w:p>
      <w:pPr>
        <w:pStyle w:val="BodyText"/>
        <w:spacing w:lineRule="auto" w:line="240"/>
        <w:jc w:val="both"/>
        <w:rPr/>
      </w:pPr>
      <w:r>
        <w:rPr>
          <w:rFonts w:cs="Arial" w:ascii="Arial" w:hAnsi="Arial"/>
        </w:rPr>
        <w:tab/>
        <w:t xml:space="preserve">If the Fed’s overnight RP add-ons continue to fall, and if gold and other commodity indexes continue to slump, then one would have to </w:t>
      </w:r>
      <w:r>
        <w:drawing>
          <wp:anchor behindDoc="0" distT="0" distB="0" distL="0" distR="114935" simplePos="0" locked="0" layoutInCell="0" allowOverlap="1" relativeHeight="10">
            <wp:simplePos x="0" y="0"/>
            <wp:positionH relativeFrom="column">
              <wp:align>left</wp:align>
            </wp:positionH>
            <wp:positionV relativeFrom="paragraph">
              <wp:posOffset>274320</wp:posOffset>
            </wp:positionV>
            <wp:extent cx="4060190" cy="2868295"/>
            <wp:effectExtent l="0" t="0" r="0" b="0"/>
            <wp:wrapSquare wrapText="bothSides"/>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7" t="-9" r="-7" b="-9"/>
                    <a:stretch>
                      <a:fillRect/>
                    </a:stretch>
                  </pic:blipFill>
                  <pic:spPr bwMode="auto">
                    <a:xfrm>
                      <a:off x="0" y="0"/>
                      <a:ext cx="4060190" cy="2868295"/>
                    </a:xfrm>
                    <a:prstGeom prst="rect">
                      <a:avLst/>
                    </a:prstGeom>
                    <a:noFill/>
                  </pic:spPr>
                </pic:pic>
              </a:graphicData>
            </a:graphic>
          </wp:anchor>
        </w:drawing>
      </w:r>
      <w:r>
        <w:rPr>
          <w:rFonts w:cs="Arial" w:ascii="Arial" w:hAnsi="Arial"/>
        </w:rPr>
        <w:t xml:space="preserve">conclude that the central bank is still operating a policy of deflationary money.  Clearly they have returned to a rigid fed funds rate targeting approach.  However, with an eye on the deflationary recession, managing the volume of liquidity would be a lot more productive than managing the funds rate target.  </w:t>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rPr>
      </w:pPr>
      <w:r>
        <w:rPr>
          <w:rFonts w:cs="Arial" w:ascii="Arial" w:hAnsi="Arial"/>
        </w:rPr>
        <w:tab/>
        <w:t xml:space="preserve">Futures markets are predicting a 2% yearend funds rate.  By itself, however, that does not necessarily mean an adequate volume of high-powered money.  Year-to-year growth in the monetary base has actually declined by about two percentage points recently.  In view of commodity trends, this is not encouraging.  </w:t>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b/>
          <w:bCs/>
          <w:u w:val="single"/>
        </w:rPr>
      </w:pPr>
      <w:r>
        <w:rPr>
          <w:rFonts w:cs="Arial" w:ascii="Arial" w:hAnsi="Arial"/>
          <w:b/>
          <w:bCs/>
          <w:u w:val="single"/>
        </w:rPr>
        <w:t>M3 Plus Commercial Paper</w:t>
      </w:r>
    </w:p>
    <w:p>
      <w:pPr>
        <w:pStyle w:val="BodyText"/>
        <w:spacing w:lineRule="auto" w:line="240"/>
        <w:jc w:val="both"/>
        <w:rPr>
          <w:rFonts w:ascii="Arial" w:hAnsi="Arial" w:cs="Arial"/>
          <w:b/>
          <w:bCs/>
          <w:u w:val="single"/>
        </w:rPr>
      </w:pPr>
      <w:r>
        <w:rPr>
          <w:rFonts w:cs="Arial" w:ascii="Arial" w:hAnsi="Arial"/>
          <w:b/>
          <w:bCs/>
          <w:u w:val="single"/>
        </w:rPr>
      </w:r>
    </w:p>
    <w:p>
      <w:pPr>
        <w:pStyle w:val="BodyText"/>
        <w:spacing w:lineRule="auto" w:line="240"/>
        <w:jc w:val="both"/>
        <w:rPr>
          <w:rFonts w:ascii="Arial" w:hAnsi="Arial" w:cs="Arial"/>
        </w:rPr>
      </w:pPr>
      <w:r>
        <w:rPr>
          <w:rFonts w:cs="Arial" w:ascii="Arial" w:hAnsi="Arial"/>
        </w:rPr>
        <w:tab/>
        <w:t xml:space="preserve">Some Wall Street economists have hauled out this old Fed measure, which used to be called L for liquidity, as a measure of Fed stimulus.  For normal humanoids who have no clue what this money aggregate contains: start with M2, then add total repurchase agreements, eurodollar deposits, large certificates of deposit and institutional money market mutual funds to get M3.  Then add U.S. savings bonds, short-term Treasuries, bankers’ acceptances and commercial paper to get L.  </w:t>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rPr>
      </w:pPr>
      <w:r>
        <w:drawing>
          <wp:anchor behindDoc="0" distT="0" distB="0" distL="0" distR="114935" simplePos="0" locked="0" layoutInCell="0" allowOverlap="1" relativeHeight="11">
            <wp:simplePos x="0" y="0"/>
            <wp:positionH relativeFrom="column">
              <wp:align>left</wp:align>
            </wp:positionH>
            <wp:positionV relativeFrom="paragraph">
              <wp:posOffset>457200</wp:posOffset>
            </wp:positionV>
            <wp:extent cx="4069080" cy="2870200"/>
            <wp:effectExtent l="0" t="0" r="0" b="0"/>
            <wp:wrapSquare wrapText="bothSides"/>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7" t="-9" r="-7" b="-9"/>
                    <a:stretch>
                      <a:fillRect/>
                    </a:stretch>
                  </pic:blipFill>
                  <pic:spPr bwMode="auto">
                    <a:xfrm>
                      <a:off x="0" y="0"/>
                      <a:ext cx="4069080" cy="2870200"/>
                    </a:xfrm>
                    <a:prstGeom prst="rect">
                      <a:avLst/>
                    </a:prstGeom>
                    <a:noFill/>
                  </pic:spPr>
                </pic:pic>
              </a:graphicData>
            </a:graphic>
          </wp:anchor>
        </w:drawing>
      </w:r>
      <w:r>
        <w:rPr>
          <w:rFonts w:cs="Arial" w:ascii="Arial" w:hAnsi="Arial"/>
        </w:rPr>
        <w:tab/>
        <w:t xml:space="preserve">The big swing factor is commercial paper, which over the past 15 months or so has shifted from a 25% growth rate to an 8.6% decline rate.  Consequently, L has shifted from about 12½% growth to an 8% growth.  </w:t>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rPr>
      </w:pPr>
      <w:r>
        <w:rPr>
          <w:rFonts w:cs="Arial" w:ascii="Arial" w:hAnsi="Arial"/>
        </w:rPr>
        <w:tab/>
        <w:t xml:space="preserve">What’s it all mean?  Nothing.  The L measure suffers from the same defect as all the other Ms, at least in terms of forecasting nominal GDP.  Namely, the rate of velocity, or the turnover of money, has been sinking in the deflationary recession environment.  When money changes hands slowly, it usually signifies risk aversion, capital losses and profit declines.  Sound familiar?  Declining velocity reduces the economic power of all the Ms.  </w:t>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rPr>
      </w:pPr>
      <w:r>
        <w:rPr>
          <w:rFonts w:cs="Arial" w:ascii="Arial" w:hAnsi="Arial"/>
        </w:rPr>
        <w:tab/>
        <w:t xml:space="preserve">A more interesting interpretation of L suggests that it is a proxy for money demanded in the economy.  In recent years Victor Canto has argued again and again that only monetary base money is controlled by the Fed; the other Ms merely reflect money demanded by the public for transaction or investment purposes.  In this model the slump in L growth (M3 plus commercial paper) simply coincides with the downturn in the economy.  </w:t>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rPr>
      </w:pPr>
      <w:r>
        <w:rPr>
          <w:rFonts w:cs="Arial" w:ascii="Arial" w:hAnsi="Arial"/>
        </w:rPr>
        <w:tab/>
        <w:t xml:space="preserve">Arthur Laffer has always advocated a comparison of the monetary base (money supplied by the Fed) and various Ms (money demanded by the economy).  Faster base growth implies “excess money”, which is an inflationary condition.  Slower base growth implies a shortage of money, which is a deflationary condition.  </w:t>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rPr>
      </w:pPr>
      <w:r>
        <w:rPr>
          <w:rFonts w:cs="Arial" w:ascii="Arial" w:hAnsi="Arial"/>
        </w:rPr>
        <w:tab/>
        <w:t xml:space="preserve">Where are we now?  I’m not really sure, because I’m not sure about L (to repeat: M3 plus commercial paper).  Factually, both the Fed-driven monetary base and the economy-driven L are rising at roughly 8% over the past year.  Whew.  </w:t>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b/>
          <w:bCs/>
          <w:u w:val="single"/>
        </w:rPr>
      </w:pPr>
      <w:r>
        <w:rPr>
          <w:rFonts w:cs="Arial" w:ascii="Arial" w:hAnsi="Arial"/>
          <w:b/>
          <w:bCs/>
          <w:u w:val="single"/>
        </w:rPr>
        <w:t>War News Is Good</w:t>
      </w:r>
    </w:p>
    <w:p>
      <w:pPr>
        <w:pStyle w:val="BodyText"/>
        <w:spacing w:lineRule="auto" w:line="240"/>
        <w:jc w:val="both"/>
        <w:rPr>
          <w:rFonts w:ascii="Arial" w:hAnsi="Arial" w:cs="Arial"/>
          <w:b/>
          <w:bCs/>
          <w:u w:val="single"/>
        </w:rPr>
      </w:pPr>
      <w:r>
        <w:rPr>
          <w:rFonts w:cs="Arial" w:ascii="Arial" w:hAnsi="Arial"/>
          <w:b/>
          <w:bCs/>
          <w:u w:val="single"/>
        </w:rPr>
      </w:r>
    </w:p>
    <w:p>
      <w:pPr>
        <w:pStyle w:val="BodyText"/>
        <w:spacing w:lineRule="auto" w:line="240"/>
        <w:jc w:val="both"/>
        <w:rPr/>
      </w:pPr>
      <w:r>
        <w:rPr>
          <w:rFonts w:cs="Arial" w:ascii="Arial" w:hAnsi="Arial"/>
        </w:rPr>
        <w:tab/>
        <w:t xml:space="preserve">The impressive stock market upturn on Monday is surely a positive response to some very good war news over the weekend.  Major terrorist attacks that the FBI warned were imminent ten days ago may have been delayed or prevented by a worldwide campaign of arrests and detentions of suspected Al Qaeda operatives and their allies, according to Sunday’s </w:t>
      </w:r>
      <w:r>
        <w:rPr>
          <w:rFonts w:cs="Arial" w:ascii="Arial" w:hAnsi="Arial"/>
          <w:i/>
          <w:iCs/>
        </w:rPr>
        <w:t>New York Times</w:t>
      </w:r>
      <w:r>
        <w:rPr>
          <w:rFonts w:cs="Arial" w:ascii="Arial" w:hAnsi="Arial"/>
        </w:rPr>
        <w:t>.</w:t>
      </w:r>
    </w:p>
    <w:p>
      <w:pPr>
        <w:pStyle w:val="BodyText"/>
        <w:spacing w:lineRule="auto" w:line="240"/>
        <w:jc w:val="both"/>
        <w:rPr>
          <w:rFonts w:ascii="Arial" w:hAnsi="Arial" w:cs="Arial"/>
        </w:rPr>
      </w:pPr>
      <w:r>
        <w:rPr>
          <w:rFonts w:cs="Arial" w:ascii="Arial" w:hAnsi="Arial"/>
        </w:rPr>
      </w:r>
    </w:p>
    <w:p>
      <w:pPr>
        <w:pStyle w:val="BodyText"/>
        <w:spacing w:lineRule="auto" w:line="240"/>
        <w:jc w:val="both"/>
        <w:rPr/>
      </w:pPr>
      <w:r>
        <w:rPr>
          <w:rFonts w:cs="Arial" w:ascii="Arial" w:hAnsi="Arial"/>
        </w:rPr>
        <w:tab/>
        <w:t xml:space="preserve">“Focus of FBI is seen shifting to terrorism,” read another </w:t>
      </w:r>
      <w:r>
        <w:rPr>
          <w:rFonts w:cs="Arial" w:ascii="Arial" w:hAnsi="Arial"/>
          <w:i/>
          <w:iCs/>
        </w:rPr>
        <w:t>Times</w:t>
      </w:r>
      <w:r>
        <w:rPr>
          <w:rFonts w:cs="Arial" w:ascii="Arial" w:hAnsi="Arial"/>
        </w:rPr>
        <w:t xml:space="preserve"> headline.  “ . . . the most fundamental reorganization of the Federal Bureau of Investigation in its history, shifting its focus to counter-terrorism and away from crime fighting, senior officials said.”  </w:t>
      </w:r>
    </w:p>
    <w:p>
      <w:pPr>
        <w:pStyle w:val="BodyText"/>
        <w:spacing w:lineRule="auto" w:line="240"/>
        <w:jc w:val="both"/>
        <w:rPr>
          <w:rFonts w:ascii="Arial" w:hAnsi="Arial" w:cs="Arial"/>
        </w:rPr>
      </w:pPr>
      <w:r>
        <w:rPr>
          <w:rFonts w:cs="Arial" w:ascii="Arial" w:hAnsi="Arial"/>
        </w:rPr>
      </w:r>
    </w:p>
    <w:p>
      <w:pPr>
        <w:pStyle w:val="BodyText"/>
        <w:spacing w:lineRule="auto" w:line="240"/>
        <w:jc w:val="both"/>
        <w:rPr/>
      </w:pPr>
      <w:r>
        <w:rPr>
          <w:rFonts w:cs="Arial" w:ascii="Arial" w:hAnsi="Arial"/>
        </w:rPr>
        <w:tab/>
        <w:t xml:space="preserve">“Job Seekers Flood Spy Agencies” read another </w:t>
      </w:r>
      <w:r>
        <w:rPr>
          <w:rFonts w:cs="Arial" w:ascii="Arial" w:hAnsi="Arial"/>
          <w:i/>
          <w:iCs/>
        </w:rPr>
        <w:t>Times</w:t>
      </w:r>
      <w:r>
        <w:rPr>
          <w:rFonts w:cs="Arial" w:ascii="Arial" w:hAnsi="Arial"/>
        </w:rPr>
        <w:t xml:space="preserve"> headline.  “The nation’s intelligence agencies have experienced a surge in job seekers since the terrorist attacks on September 11 . . .” There’s a new abundance of quality volunteers to battle terrorism; applications are pouring into the CIA, the Defense Intelligence Agency and the National Security Agency at a rate four to six times as high as before the attacks.  </w:t>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rPr>
      </w:pPr>
      <w:r>
        <w:rPr>
          <w:rFonts w:cs="Arial" w:ascii="Arial" w:hAnsi="Arial"/>
        </w:rPr>
        <w:tab/>
        <w:t>There’s still some confusion about the anthrax breakouts and the public health response to them.  Hopefully new domestic security chief Tom Ridge will get his arms around this quickly.</w:t>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rPr>
      </w:pPr>
      <w:r>
        <w:rPr>
          <w:rFonts w:cs="Arial" w:ascii="Arial" w:hAnsi="Arial"/>
        </w:rPr>
        <w:tab/>
        <w:t xml:space="preserve">Also, the U.S. military and its allies are taking the bombing campaign right to the front lines of the Taliban near Kabul.  The commandos and special ops are on the ground.  In Shanghai President Bush made new breakthroughs with Russian President Putin.  And Mr. Bush got what he needed from Chinese President Jiang Zemin and the other Asian and Pacific leaders.   </w:t>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rPr>
      </w:pPr>
      <w:r>
        <w:rPr>
          <w:rFonts w:cs="Arial" w:ascii="Arial" w:hAnsi="Arial"/>
        </w:rPr>
        <w:tab/>
        <w:t xml:space="preserve">Another article reminded us that federal law enforcement officials have arrested 830 people.   I regard this as a good thing.  Coupled with the new FBI mission and other domestic actions, these detentions create hope of better domestic security.  If we can keep our businesses open each day, then the U.S. will out-produce the rest of the world with our culture of economic freedom and entrepreneurship.  If we can return home safely each evening to our families, then we are made whole as producers, parents and citizens.  Positive evidence on the domestic security front cannot be exaggerated as a positive for the economy and the stock market.  My original formulation of one detention and one Dow Jones stock market recovery point is still in play.  </w:t>
      </w:r>
    </w:p>
    <w:p>
      <w:pPr>
        <w:pStyle w:val="BodyText"/>
        <w:spacing w:lineRule="auto" w:line="240"/>
        <w:jc w:val="both"/>
        <w:rPr>
          <w:rFonts w:ascii="Arial" w:hAnsi="Arial" w:cs="Arial"/>
        </w:rPr>
      </w:pPr>
      <w:r>
        <w:rPr>
          <w:rFonts w:cs="Arial" w:ascii="Arial" w:hAnsi="Arial"/>
        </w:rPr>
      </w:r>
    </w:p>
    <w:p>
      <w:pPr>
        <w:pStyle w:val="BodyText"/>
        <w:spacing w:lineRule="auto" w:line="240"/>
        <w:jc w:val="both"/>
        <w:rPr>
          <w:rFonts w:ascii="Arial" w:hAnsi="Arial" w:cs="Arial"/>
        </w:rPr>
      </w:pPr>
      <w:r>
        <w:rPr>
          <w:rFonts w:cs="Arial" w:ascii="Arial" w:hAnsi="Arial"/>
        </w:rPr>
        <w:tab/>
        <w:t xml:space="preserve">God bless America.  </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Normal"/>
        <w:ind w:firstLine="720" w:end="0"/>
        <w:jc w:val="both"/>
        <w:rPr>
          <w:rFonts w:ascii="Arial" w:hAnsi="Arial" w:cs="Arial"/>
          <w:sz w:val="28"/>
        </w:rPr>
      </w:pPr>
      <w:r>
        <w:rPr>
          <w:rFonts w:cs="Arial" w:ascii="Arial" w:hAnsi="Arial"/>
          <w:sz w:val="28"/>
        </w:rPr>
      </w:r>
    </w:p>
    <w:p>
      <w:pPr>
        <w:pStyle w:val="Normal"/>
        <w:jc w:val="both"/>
        <w:rPr>
          <w:sz w:val="28"/>
        </w:rPr>
      </w:pPr>
      <w:r>
        <w:rPr>
          <w:sz w:val="28"/>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sectPr>
      <w:footerReference w:type="default" r:id="rId6"/>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5"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2001-10-22T19:22:00Z</dcterms:created>
  <dc:creator>Susan Varga</dc:creator>
  <dc:description/>
  <dc:language>en-CA</dc:language>
  <cp:lastModifiedBy>svarga</cp:lastModifiedBy>
  <cp:lastPrinted>2001-10-18T17:02:00Z</cp:lastPrinted>
  <dcterms:modified xsi:type="dcterms:W3CDTF">2001-10-22T19:22:00Z</dcterms:modified>
  <cp:revision>2</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