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wmf" ContentType="image/x-wmf"/>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IndustryBanner"/>
        <w:jc w:val="both"/>
        <w:rPr/>
      </w:pPr>
      <w:r>
        <w:rPr/>
      </w:r>
    </w:p>
    <w:p>
      <w:pPr>
        <w:pStyle w:val="IndustryBanner"/>
        <w:jc w:val="both"/>
        <w:rPr/>
      </w:pPr>
      <w:r>
        <w:rPr/>
      </w:r>
    </w:p>
    <w:p>
      <w:pPr>
        <w:pStyle w:val="IndustryBanner"/>
        <w:jc w:val="both"/>
        <w:rPr/>
      </w:pPr>
      <w:r>
        <w:rPr/>
        <w:t>Kudlow's Commentary</w:t>
      </w:r>
    </w:p>
    <w:p>
      <w:pPr>
        <w:pStyle w:val="TitleBanner"/>
        <w:jc w:val="both"/>
        <w:rPr/>
      </w:pPr>
      <w:r>
        <w:rPr/>
      </w:r>
      <w:bookmarkStart w:id="0" w:name="AddTicker"/>
      <w:bookmarkStart w:id="1" w:name="AddTicker"/>
      <w:bookmarkEnd w:id="1"/>
    </w:p>
    <w:p>
      <w:pPr>
        <w:pStyle w:val="TitleBanner"/>
        <w:rPr>
          <w:b/>
          <w:color w:val="993366"/>
          <w:sz w:val="44"/>
        </w:rPr>
      </w:pPr>
      <w:bookmarkStart w:id="2" w:name="AddTitle"/>
      <w:bookmarkEnd w:id="2"/>
      <w:r>
        <w:rPr>
          <w:b/>
          <w:color w:val="993366"/>
          <w:sz w:val="44"/>
        </w:rPr>
        <w:t>Falling Economy, Stable Prices</w:t>
      </w:r>
    </w:p>
    <w:p>
      <w:pPr>
        <w:pStyle w:val="Heading4"/>
        <w:ind w:hanging="0" w:start="0"/>
        <w:rPr>
          <w:sz w:val="28"/>
        </w:rPr>
      </w:pPr>
      <w:r>
        <w:rPr>
          <w:sz w:val="28"/>
        </w:rPr>
        <w:t xml:space="preserve">By Lawrence Kudlow </w:t>
      </w:r>
    </w:p>
    <w:p>
      <w:pPr>
        <w:pStyle w:val="Normal"/>
        <w:pBdr>
          <w:bottom w:val="double" w:sz="6" w:space="1" w:color="000000"/>
        </w:pBdr>
        <w:tabs>
          <w:tab w:val="clear" w:pos="720"/>
          <w:tab w:val="right" w:pos="5587" w:leader="none"/>
          <w:tab w:val="right" w:pos="9360" w:leader="none"/>
        </w:tabs>
        <w:jc w:val="both"/>
        <w:rPr>
          <w:rStyle w:val="Date1"/>
          <w:sz w:val="28"/>
        </w:rPr>
      </w:pPr>
      <w:r>
        <w:rPr>
          <w:sz w:val="28"/>
        </w:rPr>
      </w:r>
    </w:p>
    <w:p>
      <w:pPr>
        <w:pStyle w:val="Normal"/>
        <w:pBdr>
          <w:bottom w:val="double" w:sz="6" w:space="1" w:color="000000"/>
        </w:pBdr>
        <w:tabs>
          <w:tab w:val="clear" w:pos="720"/>
          <w:tab w:val="right" w:pos="5328" w:leader="none"/>
          <w:tab w:val="right" w:pos="9504" w:leader="none"/>
        </w:tabs>
        <w:jc w:val="both"/>
        <w:rPr/>
      </w:pPr>
      <w:r>
        <w:rPr>
          <w:rStyle w:val="Date1"/>
          <w:b/>
          <w:bCs/>
        </w:rPr>
        <w:t>October 18, 2001</w:t>
      </w:r>
      <w:r>
        <w:fldChar w:fldCharType="begin">
          <w:ffData>
            <w:name w:val="GetDate"/>
            <w:enabled/>
            <w:calcOnExit w:val="0"/>
            <w:textInput/>
          </w:ffData>
        </w:fldChar>
      </w:r>
      <w:r>
        <w:rPr/>
        <w:instrText xml:space="preserve"> FORMTEXT </w:instrText>
      </w:r>
      <w:bookmarkStart w:id="3" w:name="AddDate"/>
      <w:bookmarkStart w:id="4" w:name="GetDate_Copy_1"/>
      <w:bookmarkEnd w:id="4"/>
      <w:r>
        <w:rPr/>
      </w:r>
      <w:r>
        <w:rPr/>
        <w:fldChar w:fldCharType="separate"/>
      </w:r>
      <w:r>
        <w:rPr/>
        <w:t xml:space="preserve">     </w:t>
      </w:r>
      <w:r>
        <w:rPr/>
      </w:r>
      <w:r>
        <w:rPr/>
        <w:fldChar w:fldCharType="end"/>
      </w:r>
      <w:bookmarkEnd w:id="3"/>
      <w:r>
        <w:rPr/>
        <w:t xml:space="preserve">  </w:t>
        <w:tab/>
      </w:r>
      <w:r>
        <w:fldChar w:fldCharType="begin">
          <w:ffData>
            <w:name w:val="AddAnalyst1"/>
            <w:enabled/>
            <w:calcOnExit w:val="0"/>
            <w:textInput/>
          </w:ffData>
        </w:fldChar>
      </w:r>
      <w:r>
        <w:rPr/>
        <w:instrText xml:space="preserve"> FORMTEXT </w:instrText>
      </w:r>
      <w:r>
        <w:rPr/>
      </w:r>
      <w:r>
        <w:rPr/>
        <w:fldChar w:fldCharType="separate"/>
      </w:r>
      <w:r>
        <w:rPr/>
        <w:t xml:space="preserve">     </w:t>
      </w:r>
      <w:r>
        <w:rPr/>
      </w:r>
      <w:r>
        <w:rPr/>
        <w:fldChar w:fldCharType="end"/>
      </w:r>
      <w:r>
        <w:rPr/>
        <w:tab/>
      </w:r>
      <w:r>
        <w:rPr>
          <w:rStyle w:val="Analyst"/>
          <w:b/>
          <w:bCs/>
        </w:rPr>
        <w:t>Kudlow &amp; Co., LLC (212) 644-8610</w:t>
      </w:r>
      <w:r>
        <w:rPr>
          <w:i/>
        </w:rPr>
        <w:t xml:space="preserve"> </w:t>
      </w:r>
      <w:bookmarkStart w:id="5" w:name="AddBullet"/>
      <w:bookmarkStart w:id="6" w:name="AddModel"/>
      <w:bookmarkEnd w:id="5"/>
      <w:bookmarkEnd w:id="6"/>
    </w:p>
    <w:p>
      <w:pPr>
        <w:pStyle w:val="BodyText"/>
        <w:spacing w:lineRule="auto" w:line="240"/>
        <w:jc w:val="both"/>
        <w:rPr>
          <w:u w:val="single"/>
        </w:rPr>
      </w:pPr>
      <w:r>
        <w:rPr>
          <w:u w:val="single"/>
        </w:rPr>
      </w:r>
    </w:p>
    <w:p>
      <w:pPr>
        <w:pStyle w:val="BodyText"/>
        <w:spacing w:lineRule="auto" w:line="240"/>
        <w:jc w:val="both"/>
        <w:rPr/>
      </w:pPr>
      <w:r>
        <w:rPr/>
        <w:tab/>
        <w:t xml:space="preserve">You’d think with 500 or so highly-trained and well-schooled staff economists at his immediate disposal, Fed chairman Alan Greenspan could have come up with something better in his Congressional testimony this week than arguing that the economy might have been stabilizing before the 9/11 terrorist bombings.  </w:t>
      </w:r>
    </w:p>
    <w:p>
      <w:pPr>
        <w:pStyle w:val="Normal"/>
        <w:jc w:val="both"/>
        <w:rPr>
          <w:sz w:val="28"/>
        </w:rPr>
      </w:pPr>
      <w:r>
        <w:rPr>
          <w:sz w:val="28"/>
        </w:rPr>
      </w:r>
    </w:p>
    <w:p>
      <w:pPr>
        <w:pStyle w:val="Normal"/>
        <w:jc w:val="both"/>
        <w:rPr/>
      </w:pPr>
      <w:r>
        <w:rPr>
          <w:sz w:val="28"/>
        </w:rPr>
        <w:tab/>
        <w:t xml:space="preserve">I have no idea what the payroll cost is for the high-priced economic talent at the Fed, but for 75 cents daily you can buy </w:t>
      </w:r>
      <w:r>
        <w:rPr>
          <w:i/>
          <w:iCs/>
          <w:sz w:val="28"/>
        </w:rPr>
        <w:t>USA Today</w:t>
      </w:r>
      <w:r>
        <w:rPr>
          <w:sz w:val="28"/>
        </w:rPr>
        <w:t xml:space="preserve"> and figure out that the American economy was sinking like a stone before mid-September.  </w:t>
      </w:r>
    </w:p>
    <w:p>
      <w:pPr>
        <w:pStyle w:val="Normal"/>
        <w:jc w:val="both"/>
        <w:rPr>
          <w:sz w:val="28"/>
        </w:rPr>
      </w:pPr>
      <w:r>
        <w:rPr>
          <w:sz w:val="28"/>
        </w:rPr>
      </w:r>
    </w:p>
    <w:p>
      <w:pPr>
        <w:pStyle w:val="Normal"/>
        <w:jc w:val="both"/>
        <w:rPr>
          <w:sz w:val="28"/>
        </w:rPr>
      </w:pPr>
      <w:r>
        <w:rPr>
          <w:sz w:val="28"/>
        </w:rPr>
        <w:tab/>
        <w:t xml:space="preserve">For example, third quarter industrial production, which makes up about 20% of the economy, plunged at a 6.2% annual rate.  September’s fall was the twelfth consecutive monthly decline, marking the first year-long drop for industry since October 1945.  </w:t>
      </w:r>
    </w:p>
    <w:p>
      <w:pPr>
        <w:pStyle w:val="Normal"/>
        <w:jc w:val="both"/>
        <w:rPr>
          <w:sz w:val="28"/>
        </w:rPr>
      </w:pPr>
      <w:r>
        <w:rPr>
          <w:sz w:val="28"/>
        </w:rPr>
      </w:r>
    </w:p>
    <w:p>
      <w:pPr>
        <w:pStyle w:val="Normal"/>
        <w:ind w:firstLine="720" w:end="0"/>
        <w:jc w:val="both"/>
        <w:rPr>
          <w:sz w:val="28"/>
        </w:rPr>
      </w:pPr>
      <w:r>
        <w:rPr>
          <w:sz w:val="28"/>
        </w:rPr>
        <w:t xml:space="preserve">Retail sales, which comprise slightly less than half of total consumer spending, declined at a 1% yearly pace.  With the July/August consumer spending deflator rising at a 0.4% annual rate, real retail sales will be off about 1½% in the third quarter.  </w:t>
      </w:r>
    </w:p>
    <w:p>
      <w:pPr>
        <w:pStyle w:val="Normal"/>
        <w:jc w:val="both"/>
        <w:rPr>
          <w:sz w:val="28"/>
        </w:rPr>
      </w:pPr>
      <w:r>
        <w:rPr>
          <w:sz w:val="28"/>
        </w:rPr>
      </w:r>
    </w:p>
    <w:p>
      <w:pPr>
        <w:pStyle w:val="Normal"/>
        <w:jc w:val="both"/>
        <w:rPr>
          <w:sz w:val="28"/>
        </w:rPr>
      </w:pPr>
      <w:r>
        <w:rPr>
          <w:sz w:val="28"/>
        </w:rPr>
        <w:tab/>
        <w:t xml:space="preserve">On October 31 (Halloween) the government will deliver its so-called advance GDP report, which looks to be a decline of about 1% annually.  Besides sales and production, business capital spending has been in free-fall since late last year.  </w:t>
      </w:r>
    </w:p>
    <w:p>
      <w:pPr>
        <w:pStyle w:val="Normal"/>
        <w:jc w:val="both"/>
        <w:rPr>
          <w:sz w:val="28"/>
        </w:rPr>
      </w:pPr>
      <w:r>
        <w:rPr>
          <w:sz w:val="28"/>
        </w:rPr>
      </w:r>
    </w:p>
    <w:p>
      <w:pPr>
        <w:pStyle w:val="Normal"/>
        <w:jc w:val="both"/>
        <w:rPr>
          <w:sz w:val="28"/>
        </w:rPr>
      </w:pPr>
      <w:r>
        <w:rPr>
          <w:sz w:val="28"/>
        </w:rPr>
        <w:tab/>
        <w:t xml:space="preserve">The National Association of Home Builders just reported its biggest one-month drop since its index was started in 1986.  Weekly unemployment claims stand at a ten-year high.  </w:t>
      </w:r>
    </w:p>
    <w:p>
      <w:pPr>
        <w:pStyle w:val="Normal"/>
        <w:jc w:val="both"/>
        <w:rPr>
          <w:sz w:val="28"/>
        </w:rPr>
      </w:pPr>
      <w:r>
        <w:rPr>
          <w:sz w:val="28"/>
        </w:rPr>
      </w:r>
    </w:p>
    <w:p>
      <w:pPr>
        <w:pStyle w:val="Normal"/>
        <w:jc w:val="both"/>
        <w:rPr>
          <w:sz w:val="28"/>
        </w:rPr>
      </w:pPr>
      <w:r>
        <w:rPr>
          <w:sz w:val="28"/>
        </w:rPr>
        <w:tab/>
        <w:t xml:space="preserve">So let’s see where we are:  production, sales, investment, housing and unemployment are all moving in the wrong direction.  </w:t>
      </w:r>
    </w:p>
    <w:p>
      <w:pPr>
        <w:pStyle w:val="Normal"/>
        <w:jc w:val="both"/>
        <w:rPr>
          <w:sz w:val="28"/>
        </w:rPr>
      </w:pPr>
      <w:r>
        <w:rPr>
          <w:sz w:val="28"/>
        </w:rPr>
      </w:r>
    </w:p>
    <w:p>
      <w:pPr>
        <w:pStyle w:val="Normal"/>
        <w:jc w:val="both"/>
        <w:rPr>
          <w:sz w:val="28"/>
        </w:rPr>
      </w:pPr>
      <w:r>
        <w:rPr>
          <w:sz w:val="28"/>
        </w:rPr>
        <w:tab/>
        <w:t xml:space="preserve">To be sure, these are coincident and lagging economic statistics.  None of them tell us anything much about the future, which hopefully will be brighter.  </w:t>
      </w:r>
    </w:p>
    <w:p>
      <w:pPr>
        <w:pStyle w:val="Normal"/>
        <w:jc w:val="both"/>
        <w:rPr>
          <w:sz w:val="28"/>
        </w:rPr>
      </w:pPr>
      <w:r>
        <w:rPr>
          <w:sz w:val="28"/>
        </w:rPr>
      </w:r>
    </w:p>
    <w:p>
      <w:pPr>
        <w:pStyle w:val="Normal"/>
        <w:jc w:val="both"/>
        <w:rPr>
          <w:sz w:val="28"/>
        </w:rPr>
      </w:pPr>
      <w:r>
        <w:rPr>
          <w:sz w:val="28"/>
        </w:rPr>
        <w:tab/>
        <w:t xml:space="preserve">But also to be sure, there ain’t no stabilization in these figures.  The Greenspanian view of pre-war economic stability was merely inserted to cover-up the Fed’s failed forecast of a second-half recovery.  Bureaucratic you-know-what covering.  This failed attempt to cover-up a failed forecast neither illuminates nor informs the public about the state of the economy. </w:t>
      </w:r>
    </w:p>
    <w:p>
      <w:pPr>
        <w:pStyle w:val="Normal"/>
        <w:jc w:val="both"/>
        <w:rPr>
          <w:sz w:val="28"/>
        </w:rPr>
      </w:pPr>
      <w:r>
        <w:rPr>
          <w:sz w:val="28"/>
        </w:rPr>
      </w:r>
    </w:p>
    <w:p>
      <w:pPr>
        <w:pStyle w:val="Normal"/>
        <w:jc w:val="both"/>
        <w:rPr/>
      </w:pPr>
      <w:r>
        <w:rPr>
          <w:sz w:val="28"/>
        </w:rPr>
        <w:tab/>
        <w:t xml:space="preserve">One last thought.  The broadest measure of economic activity in the GDP national income accounts is </w:t>
      </w:r>
      <w:r>
        <w:rPr>
          <w:i/>
          <w:iCs/>
          <w:sz w:val="28"/>
        </w:rPr>
        <w:t>nominal</w:t>
      </w:r>
      <w:r>
        <w:rPr>
          <w:sz w:val="28"/>
        </w:rPr>
        <w:t xml:space="preserve"> gross domestic product.  This includes inflation and real output, and stands as a proxy for total spending in the economy.  </w:t>
      </w:r>
    </w:p>
    <w:p>
      <w:pPr>
        <w:pStyle w:val="Normal"/>
        <w:jc w:val="both"/>
        <w:rPr>
          <w:sz w:val="28"/>
        </w:rPr>
      </w:pPr>
      <w:r>
        <w:rPr>
          <w:sz w:val="28"/>
        </w:rPr>
      </w:r>
    </w:p>
    <w:p>
      <w:pPr>
        <w:pStyle w:val="Normal"/>
        <w:jc w:val="both"/>
        <w:rPr>
          <w:sz w:val="28"/>
        </w:rPr>
      </w:pPr>
      <w:r>
        <w:rPr>
          <w:sz w:val="28"/>
        </w:rPr>
        <w:tab/>
        <w:t xml:space="preserve">Using industrial production to measure real output, and producer prices to measure inflation (minus 3.7% at an annual rate in Q3), nominal GDP could grow at a weak 2½% rate in the third quarter.  </w:t>
      </w:r>
    </w:p>
    <w:p>
      <w:pPr>
        <w:pStyle w:val="Normal"/>
        <w:jc w:val="both"/>
        <w:rPr>
          <w:sz w:val="28"/>
        </w:rPr>
      </w:pPr>
      <w:r>
        <w:rPr>
          <w:sz w:val="28"/>
        </w:rPr>
      </w:r>
    </w:p>
    <w:p>
      <w:pPr>
        <w:pStyle w:val="Normal"/>
        <w:jc w:val="both"/>
        <w:rPr>
          <w:sz w:val="28"/>
        </w:rPr>
      </w:pPr>
      <w:r>
        <w:rPr>
          <w:sz w:val="28"/>
        </w:rPr>
        <w:tab/>
        <w:t xml:space="preserve">Many economists measure central bank policy ease or restraint in terms of money GDP growth.  When the fed funds target rate stands higher than money GDP growth, policy is relatively tight.  When the funds rate is below GDP, policy is relatively easy.  </w:t>
      </w:r>
    </w:p>
    <w:p>
      <w:pPr>
        <w:pStyle w:val="Normal"/>
        <w:jc w:val="both"/>
        <w:rPr>
          <w:sz w:val="28"/>
        </w:rPr>
      </w:pPr>
      <w:r>
        <w:rPr>
          <w:sz w:val="28"/>
        </w:rPr>
      </w:r>
    </w:p>
    <w:p>
      <w:pPr>
        <w:pStyle w:val="Normal"/>
        <w:jc w:val="both"/>
        <w:rPr>
          <w:sz w:val="28"/>
        </w:rPr>
      </w:pPr>
      <w:r>
        <w:rPr>
          <w:sz w:val="28"/>
        </w:rPr>
        <w:tab/>
        <w:t xml:space="preserve">Today’s funds rate target is 2½%, the same as projected third quarter GDP growth.  So while the Fed has moved from policy restraint to policy neutral, they have not yet clearly moved to an easing stance.  With gold now below $280, and broad commodity indexes still deflating, it looks like the Fed should get its funds rate target down to 2% posthaste.  That is, unless they truly believe the economy is stabilizing.  </w:t>
      </w:r>
    </w:p>
    <w:p>
      <w:pPr>
        <w:pStyle w:val="Normal"/>
        <w:jc w:val="both"/>
        <w:rPr>
          <w:sz w:val="28"/>
        </w:rPr>
      </w:pPr>
      <w:r>
        <w:rPr>
          <w:sz w:val="28"/>
        </w:rPr>
      </w:r>
    </w:p>
    <w:p>
      <w:pPr>
        <w:pStyle w:val="Heading1"/>
        <w:spacing w:lineRule="auto" w:line="240"/>
        <w:ind w:hanging="0" w:start="0"/>
        <w:jc w:val="both"/>
        <w:rPr>
          <w:i/>
          <w:i/>
          <w:iCs/>
        </w:rPr>
      </w:pPr>
      <w:r>
        <w:rPr>
          <w:i/>
          <w:iCs/>
        </w:rPr>
        <w:t>Inflation Forecast Update</w:t>
      </w:r>
    </w:p>
    <w:p>
      <w:pPr>
        <w:pStyle w:val="Normal"/>
        <w:jc w:val="both"/>
        <w:rPr>
          <w:i/>
          <w:i/>
          <w:iCs/>
          <w:sz w:val="28"/>
        </w:rPr>
      </w:pPr>
      <w:r>
        <w:rPr>
          <w:i/>
          <w:iCs/>
          <w:sz w:val="28"/>
        </w:rPr>
      </w:r>
    </w:p>
    <w:p>
      <w:pPr>
        <w:pStyle w:val="BodyText"/>
        <w:spacing w:lineRule="auto" w:line="240"/>
        <w:jc w:val="both"/>
        <w:rPr/>
      </w:pPr>
      <w:r>
        <w:rPr/>
        <w:tab/>
        <w:t xml:space="preserve">Tight money over the past twenty-one months has brought the six-month rate of change of the personal spending deflator down to 0.6% at an annual rate from 3% last February.  This is virtual zero-inflation, and it is probable that prices will remain stable over at least the next year.  Maybe for the rest of our lifetime.  </w:t>
      </w:r>
    </w:p>
    <w:p>
      <w:pPr>
        <w:pStyle w:val="Normal"/>
        <w:jc w:val="both"/>
        <w:rPr>
          <w:sz w:val="28"/>
        </w:rPr>
      </w:pPr>
      <w:r>
        <w:rPr>
          <w:sz w:val="28"/>
        </w:rPr>
      </w:r>
    </w:p>
    <w:p>
      <w:pPr>
        <w:pStyle w:val="Normal"/>
        <w:jc w:val="both"/>
        <w:rPr>
          <w:sz w:val="28"/>
        </w:rPr>
      </w:pPr>
      <w:r>
        <w:rPr>
          <w:sz w:val="28"/>
        </w:rPr>
        <w:tab/>
        <w:t xml:space="preserve">Using the spread between inflation-protected Treasury yields and market rates, it is clear that expectations of future inflation are nil.  At the short-end of the Treasury curve, the spread between 180-day Treasury bill rates and the inflation-indexed Treasury maturing 7/15/02 is only one percentage point.  </w:t>
      </w:r>
    </w:p>
    <w:p>
      <w:pPr>
        <w:pStyle w:val="Normal"/>
        <w:jc w:val="both"/>
        <w:rPr>
          <w:sz w:val="28"/>
        </w:rPr>
      </w:pPr>
      <w:r>
        <w:rPr>
          <w:sz w:val="28"/>
        </w:rPr>
      </w:r>
    </w:p>
    <w:p>
      <w:pPr>
        <w:pStyle w:val="Normal"/>
        <w:ind w:firstLine="720" w:end="0"/>
        <w:jc w:val="both"/>
        <w:rPr>
          <w:sz w:val="28"/>
        </w:rPr>
      </w:pPr>
      <w:r>
        <w:rPr>
          <w:sz w:val="28"/>
        </w:rPr>
        <w:t xml:space="preserve">Remember, inflation-indexed Treasuries are protected by a CPI allowance.  But the CPI itself is overestimated by nearly one percentage point.  So we’re talking zero inflation fears.  </w:t>
      </w:r>
    </w:p>
    <w:p>
      <w:pPr>
        <w:pStyle w:val="Normal"/>
        <w:ind w:firstLine="720" w:end="0"/>
        <w:jc w:val="both"/>
        <w:rPr>
          <w:sz w:val="28"/>
        </w:rPr>
      </w:pPr>
      <w:r>
        <w:rPr>
          <w:sz w:val="28"/>
        </w:rPr>
      </w:r>
    </w:p>
    <w:p>
      <w:pPr>
        <w:pStyle w:val="Normal"/>
        <w:ind w:firstLine="720" w:end="0"/>
        <w:jc w:val="both"/>
        <w:rPr>
          <w:sz w:val="28"/>
        </w:rPr>
      </w:pPr>
      <w:r>
        <w:rPr>
          <w:sz w:val="28"/>
        </w:rPr>
        <w:t xml:space="preserve">For ten-year maturities, the inflation-protected spread relative to the market rate is about 150 basis points.  So this real-time indicator is projecting about one-half of one percent future inflation.  </w:t>
      </w:r>
    </w:p>
    <w:p>
      <w:pPr>
        <w:pStyle w:val="Normal"/>
        <w:ind w:firstLine="720" w:end="0"/>
        <w:jc w:val="both"/>
        <w:rPr>
          <w:sz w:val="28"/>
        </w:rPr>
      </w:pPr>
      <w:r>
        <w:rPr>
          <w:sz w:val="28"/>
        </w:rPr>
      </w:r>
    </w:p>
    <w:p>
      <w:pPr>
        <w:pStyle w:val="BodyTextIndent"/>
        <w:rPr/>
      </w:pPr>
      <w:r>
        <w:rPr/>
        <w:t xml:space="preserve">Our forecast of the four-quarter change of the personal consumption expenditures chain price index shows a slide from the current 1.8% rate to about 1.1% by the end of next year, with a 0.5% band around the estimate.  </w:t>
      </w:r>
    </w:p>
    <w:p>
      <w:pPr>
        <w:pStyle w:val="Normal"/>
        <w:jc w:val="both"/>
        <w:rPr>
          <w:sz w:val="28"/>
        </w:rPr>
      </w:pPr>
      <w:r>
        <w:rPr>
          <w:sz w:val="28"/>
        </w:rPr>
      </w:r>
    </w:p>
    <w:p>
      <w:pPr>
        <w:pStyle w:val="Normal"/>
        <w:ind w:firstLine="720" w:end="0"/>
        <w:jc w:val="both"/>
        <w:rPr>
          <w:sz w:val="28"/>
        </w:rPr>
      </w:pPr>
      <w:r>
        <w:drawing>
          <wp:anchor behindDoc="0" distT="0" distB="0" distL="114935" distR="114935" simplePos="0" locked="0" layoutInCell="0" allowOverlap="1" relativeHeight="5">
            <wp:simplePos x="0" y="0"/>
            <wp:positionH relativeFrom="column">
              <wp:posOffset>13335</wp:posOffset>
            </wp:positionH>
            <wp:positionV relativeFrom="paragraph">
              <wp:posOffset>63500</wp:posOffset>
            </wp:positionV>
            <wp:extent cx="4077970" cy="2889885"/>
            <wp:effectExtent l="0" t="0" r="0" b="0"/>
            <wp:wrapSquare wrapText="bothSides"/>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2"/>
                    <a:srcRect l="-7" t="-9" r="-7" b="-9"/>
                    <a:stretch>
                      <a:fillRect/>
                    </a:stretch>
                  </pic:blipFill>
                  <pic:spPr bwMode="auto">
                    <a:xfrm>
                      <a:off x="0" y="0"/>
                      <a:ext cx="4077970" cy="2889885"/>
                    </a:xfrm>
                    <a:prstGeom prst="rect">
                      <a:avLst/>
                    </a:prstGeom>
                    <a:noFill/>
                  </pic:spPr>
                </pic:pic>
              </a:graphicData>
            </a:graphic>
          </wp:anchor>
        </w:drawing>
      </w:r>
      <w:r>
        <w:rPr>
          <w:sz w:val="28"/>
        </w:rPr>
        <w:t>The variables in the forecast regression are the 10-year T-note yield and real GDP.   Some assumptions are made about the future values of the T-note and GDP, but these assumptions are grounded in market data.  The T-note yield was projected to rise to 5.5% by end of 2002, in accordance with the liquidity model (the growth differential of the adjusted monetary base and M2).  Future GDP values are from the 3-month T-bill second difference model, which uses Fed funds futures contracts to estimate T-bill rates.</w:t>
      </w:r>
    </w:p>
    <w:p>
      <w:pPr>
        <w:pStyle w:val="Normal"/>
        <w:jc w:val="both"/>
        <w:rPr>
          <w:sz w:val="28"/>
        </w:rPr>
      </w:pPr>
      <w:r>
        <w:rPr>
          <w:sz w:val="28"/>
        </w:rPr>
      </w:r>
    </w:p>
    <w:tbl>
      <w:tblPr>
        <w:tblW w:w="9720" w:type="dxa"/>
        <w:jc w:val="start"/>
        <w:tblInd w:w="0" w:type="dxa"/>
        <w:tblLayout w:type="fixed"/>
        <w:tblCellMar>
          <w:top w:w="0" w:type="dxa"/>
          <w:start w:w="108" w:type="dxa"/>
          <w:bottom w:w="0" w:type="dxa"/>
          <w:end w:w="108" w:type="dxa"/>
        </w:tblCellMar>
      </w:tblPr>
      <w:tblGrid>
        <w:gridCol w:w="4860"/>
        <w:gridCol w:w="4860"/>
      </w:tblGrid>
      <w:tr>
        <w:trPr/>
        <w:tc>
          <w:tcPr>
            <w:tcW w:w="4860" w:type="dxa"/>
            <w:tcBorders>
              <w:top w:val="single" w:sz="6" w:space="0" w:color="000000"/>
              <w:start w:val="single" w:sz="6" w:space="0" w:color="000000"/>
              <w:bottom w:val="single" w:sz="6" w:space="0" w:color="000000"/>
              <w:end w:val="single" w:sz="6" w:space="0" w:color="000000"/>
            </w:tcBorders>
          </w:tcPr>
          <w:p>
            <w:pPr>
              <w:pStyle w:val="Heading8"/>
              <w:ind w:hanging="0" w:end="-720"/>
              <w:jc w:val="both"/>
              <w:rPr/>
            </w:pPr>
            <w:r>
              <w:rPr/>
              <w:t>Kudlow &amp; Co.  LLC</w:t>
            </w:r>
          </w:p>
        </w:tc>
        <w:tc>
          <w:tcPr>
            <w:tcW w:w="4860" w:type="dxa"/>
            <w:tcBorders>
              <w:top w:val="single" w:sz="6" w:space="0" w:color="000000"/>
              <w:start w:val="single" w:sz="6" w:space="0" w:color="000000"/>
              <w:bottom w:val="single" w:sz="6" w:space="0" w:color="000000"/>
              <w:end w:val="single" w:sz="6" w:space="0" w:color="000000"/>
            </w:tcBorders>
          </w:tcPr>
          <w:p>
            <w:pPr>
              <w:pStyle w:val="Heading9"/>
              <w:ind w:hanging="0" w:start="0"/>
              <w:jc w:val="both"/>
              <w:rPr/>
            </w:pPr>
            <w:r>
              <w:rPr/>
              <w:t>Lawrence Kudlow, CEO</w:t>
            </w:r>
          </w:p>
        </w:tc>
      </w:tr>
      <w:tr>
        <w:trPr/>
        <w:tc>
          <w:tcPr>
            <w:tcW w:w="4860" w:type="dxa"/>
            <w:tcBorders>
              <w:top w:val="single" w:sz="6" w:space="0" w:color="000000"/>
              <w:start w:val="single" w:sz="6" w:space="0" w:color="000000"/>
              <w:bottom w:val="single" w:sz="6" w:space="0" w:color="000000"/>
              <w:end w:val="single" w:sz="6" w:space="0" w:color="000000"/>
            </w:tcBorders>
          </w:tcPr>
          <w:p>
            <w:pPr>
              <w:pStyle w:val="Normal"/>
              <w:jc w:val="both"/>
              <w:rPr/>
            </w:pPr>
            <w:r>
              <w:rPr/>
              <w:t>One Dag Hammarskjold Plaza</w:t>
            </w:r>
          </w:p>
        </w:tc>
        <w:tc>
          <w:tcPr>
            <w:tcW w:w="4860" w:type="dxa"/>
            <w:tcBorders>
              <w:top w:val="single" w:sz="6" w:space="0" w:color="000000"/>
              <w:start w:val="single" w:sz="6" w:space="0" w:color="000000"/>
              <w:bottom w:val="single" w:sz="6" w:space="0" w:color="000000"/>
              <w:end w:val="single" w:sz="6" w:space="0" w:color="000000"/>
            </w:tcBorders>
          </w:tcPr>
          <w:p>
            <w:pPr>
              <w:pStyle w:val="Normal"/>
              <w:jc w:val="both"/>
              <w:rPr/>
            </w:pPr>
            <w:r>
              <w:rPr/>
              <w:t>Susan Varga, COO</w:t>
            </w:r>
          </w:p>
        </w:tc>
      </w:tr>
      <w:tr>
        <w:trPr/>
        <w:tc>
          <w:tcPr>
            <w:tcW w:w="4860" w:type="dxa"/>
            <w:tcBorders>
              <w:top w:val="single" w:sz="6" w:space="0" w:color="000000"/>
              <w:start w:val="single" w:sz="6" w:space="0" w:color="000000"/>
              <w:bottom w:val="single" w:sz="6" w:space="0" w:color="000000"/>
              <w:end w:val="single" w:sz="6" w:space="0" w:color="000000"/>
            </w:tcBorders>
          </w:tcPr>
          <w:p>
            <w:pPr>
              <w:pStyle w:val="Normal"/>
              <w:jc w:val="both"/>
              <w:rPr/>
            </w:pPr>
            <w:r>
              <w:rPr/>
              <w:t>885 Second Avenue, 26</w:t>
            </w:r>
            <w:r>
              <w:rPr>
                <w:vertAlign w:val="superscript"/>
              </w:rPr>
              <w:t>th</w:t>
            </w:r>
            <w:r>
              <w:rPr/>
              <w:t xml:space="preserve"> Floor</w:t>
            </w:r>
          </w:p>
        </w:tc>
        <w:tc>
          <w:tcPr>
            <w:tcW w:w="4860" w:type="dxa"/>
            <w:tcBorders>
              <w:top w:val="single" w:sz="6" w:space="0" w:color="000000"/>
              <w:start w:val="single" w:sz="6" w:space="0" w:color="000000"/>
              <w:bottom w:val="single" w:sz="6" w:space="0" w:color="000000"/>
              <w:end w:val="single" w:sz="6" w:space="0" w:color="000000"/>
            </w:tcBorders>
          </w:tcPr>
          <w:p>
            <w:pPr>
              <w:pStyle w:val="Normal"/>
              <w:jc w:val="both"/>
              <w:rPr/>
            </w:pPr>
            <w:r>
              <w:rPr/>
              <w:t>John Park, Economic Associate</w:t>
            </w:r>
          </w:p>
        </w:tc>
      </w:tr>
      <w:tr>
        <w:trPr/>
        <w:tc>
          <w:tcPr>
            <w:tcW w:w="4860" w:type="dxa"/>
            <w:tcBorders>
              <w:top w:val="single" w:sz="6" w:space="0" w:color="000000"/>
              <w:start w:val="single" w:sz="6" w:space="0" w:color="000000"/>
              <w:bottom w:val="single" w:sz="6" w:space="0" w:color="000000"/>
              <w:end w:val="single" w:sz="6" w:space="0" w:color="000000"/>
            </w:tcBorders>
          </w:tcPr>
          <w:p>
            <w:pPr>
              <w:pStyle w:val="Normal"/>
              <w:jc w:val="both"/>
              <w:rPr/>
            </w:pPr>
            <w:r>
              <w:rPr/>
              <w:t>New York, New York 10017</w:t>
            </w:r>
          </w:p>
        </w:tc>
        <w:tc>
          <w:tcPr>
            <w:tcW w:w="4860" w:type="dxa"/>
            <w:tcBorders>
              <w:top w:val="single" w:sz="6" w:space="0" w:color="000000"/>
              <w:start w:val="single" w:sz="6" w:space="0" w:color="000000"/>
              <w:bottom w:val="single" w:sz="6" w:space="0" w:color="000000"/>
              <w:end w:val="single" w:sz="6" w:space="0" w:color="000000"/>
            </w:tcBorders>
          </w:tcPr>
          <w:p>
            <w:pPr>
              <w:pStyle w:val="Normal"/>
              <w:jc w:val="both"/>
              <w:rPr/>
            </w:pPr>
            <w:r>
              <w:rPr/>
              <w:t>John Sullivan, VP Sales/Business Development</w:t>
            </w:r>
          </w:p>
        </w:tc>
      </w:tr>
      <w:tr>
        <w:trPr/>
        <w:tc>
          <w:tcPr>
            <w:tcW w:w="4860" w:type="dxa"/>
            <w:tcBorders>
              <w:top w:val="single" w:sz="6" w:space="0" w:color="000000"/>
              <w:start w:val="single" w:sz="6" w:space="0" w:color="000000"/>
              <w:bottom w:val="single" w:sz="6" w:space="0" w:color="000000"/>
              <w:end w:val="single" w:sz="6" w:space="0" w:color="000000"/>
            </w:tcBorders>
          </w:tcPr>
          <w:p>
            <w:pPr>
              <w:pStyle w:val="Normal"/>
              <w:jc w:val="both"/>
              <w:rPr/>
            </w:pPr>
            <w:r>
              <w:rPr/>
              <w:t>212-644-8610 (p)</w:t>
            </w:r>
          </w:p>
        </w:tc>
        <w:tc>
          <w:tcPr>
            <w:tcW w:w="4860" w:type="dxa"/>
            <w:tcBorders>
              <w:top w:val="single" w:sz="6" w:space="0" w:color="000000"/>
              <w:start w:val="single" w:sz="6" w:space="0" w:color="000000"/>
              <w:bottom w:val="single" w:sz="6" w:space="0" w:color="000000"/>
              <w:end w:val="single" w:sz="6" w:space="0" w:color="000000"/>
            </w:tcBorders>
          </w:tcPr>
          <w:p>
            <w:pPr>
              <w:pStyle w:val="Normal"/>
              <w:snapToGrid w:val="false"/>
              <w:jc w:val="both"/>
              <w:rPr/>
            </w:pPr>
            <w:r>
              <w:rPr/>
            </w:r>
          </w:p>
        </w:tc>
      </w:tr>
      <w:tr>
        <w:trPr/>
        <w:tc>
          <w:tcPr>
            <w:tcW w:w="4860" w:type="dxa"/>
            <w:tcBorders>
              <w:top w:val="single" w:sz="6" w:space="0" w:color="000000"/>
              <w:start w:val="single" w:sz="6" w:space="0" w:color="000000"/>
              <w:bottom w:val="single" w:sz="6" w:space="0" w:color="000000"/>
              <w:end w:val="single" w:sz="6" w:space="0" w:color="000000"/>
            </w:tcBorders>
          </w:tcPr>
          <w:p>
            <w:pPr>
              <w:pStyle w:val="Normal"/>
              <w:jc w:val="both"/>
              <w:rPr/>
            </w:pPr>
            <w:r>
              <w:rPr/>
              <w:t>212-588-1636 (f)</w:t>
            </w:r>
          </w:p>
        </w:tc>
        <w:tc>
          <w:tcPr>
            <w:tcW w:w="4860" w:type="dxa"/>
            <w:tcBorders>
              <w:top w:val="single" w:sz="6" w:space="0" w:color="000000"/>
              <w:start w:val="single" w:sz="6" w:space="0" w:color="000000"/>
              <w:bottom w:val="single" w:sz="6" w:space="0" w:color="000000"/>
              <w:end w:val="single" w:sz="6" w:space="0" w:color="000000"/>
            </w:tcBorders>
          </w:tcPr>
          <w:p>
            <w:pPr>
              <w:pStyle w:val="Normal"/>
              <w:jc w:val="both"/>
              <w:rPr/>
            </w:pPr>
            <w:r>
              <w:rPr/>
              <w:t>www.kudlow.com</w:t>
            </w:r>
          </w:p>
        </w:tc>
      </w:tr>
    </w:tbl>
    <w:p>
      <w:pPr>
        <w:pStyle w:val="BodyText"/>
        <w:spacing w:lineRule="auto" w:line="240"/>
        <w:jc w:val="both"/>
        <w:rPr/>
      </w:pPr>
      <w:r>
        <w:rPr/>
      </w:r>
    </w:p>
    <w:sectPr>
      <w:footerReference w:type="default" r:id="rId3"/>
      <w:type w:val="nextPage"/>
      <w:pgSz w:w="12240" w:h="15840"/>
      <w:pgMar w:left="1440" w:right="1296" w:gutter="0" w:header="0" w:top="1152" w:footer="720" w:bottom="1440"/>
      <w:pgNumType w:start="1"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New">
    <w:charset w:val="00" w:characterSet="windows-1252"/>
    <w:family w:val="modern"/>
    <w:pitch w:val="default"/>
  </w:font>
  <w:font w:name="Wingdings">
    <w:charset w:val="02"/>
    <w:family w:val="auto"/>
    <w:pitch w:val="variable"/>
  </w:font>
  <w:font w:name="Palatino-Roman">
    <w:charset w:val="00" w:characterSet="windows-1252"/>
    <w:family w:val="roman"/>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lineRule="auto" w:line="192"/>
      <w:jc w:val="both"/>
      <w:rPr/>
    </w:pPr>
    <w:r>
      <w:rPr/>
    </w:r>
    <w:r>
      <mc:AlternateContent>
        <mc:Choice Requires="wps">
          <w:drawing>
            <wp:anchor behindDoc="0" distT="0" distB="0" distL="0" distR="0" simplePos="0" locked="0" layoutInCell="0" allowOverlap="1" relativeHeight="4">
              <wp:simplePos x="0" y="0"/>
              <wp:positionH relativeFrom="margin">
                <wp:align>center</wp:align>
              </wp:positionH>
              <wp:positionV relativeFrom="paragraph">
                <wp:posOffset>635</wp:posOffset>
              </wp:positionV>
              <wp:extent cx="64135" cy="146685"/>
              <wp:effectExtent l="0" t="0" r="0" b="0"/>
              <wp:wrapSquare wrapText="bothSides"/>
              <wp:docPr id="2" name="Frame1"/>
              <a:graphic xmlns:a="http://schemas.openxmlformats.org/drawingml/2006/main">
                <a:graphicData uri="http://schemas.microsoft.com/office/word/2010/wordprocessingShape">
                  <wps:wsp>
                    <wps:cNvSpPr txBox="1"/>
                    <wps:spPr>
                      <a:xfrm>
                        <a:off x="0" y="0"/>
                        <a:ext cx="64135" cy="146685"/>
                      </a:xfrm>
                      <a:prstGeom prst="rect"/>
                      <a:solidFill>
                        <a:srgbClr val="FFFFFF">
                          <a:alpha val="0"/>
                        </a:srgbClr>
                      </a:solidFill>
                    </wps:spPr>
                    <wps:txbx>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5.05pt;height:11.55pt;mso-wrap-distance-left:0pt;mso-wrap-distance-right:0pt;mso-wrap-distance-top:0pt;mso-wrap-distance-bottom:0pt;margin-top:0.05pt;mso-position-vertical-relative:text;margin-left:235.1pt;mso-position-horizontal:center;mso-position-horizontal-relative:margin">
              <v:fill opacity="0f"/>
              <v:textbox inset="0in,0in,0in,0in">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txbxContent>
              </v:textbox>
              <w10:wrap type="square"/>
            </v:rect>
          </w:pict>
        </mc:Fallback>
      </mc:AlternateContent>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abstractNum w:abstractNumId="2">
    <w:lvl w:ilvl="0">
      <w:numFmt w:val="decimal"/>
      <w:suff w:val="nothing"/>
      <w:lvlText w:val="%1"/>
      <w:lvlJc w:val="start"/>
      <w:pPr>
        <w:tabs>
          <w:tab w:val="num" w:pos="0"/>
        </w:tabs>
        <w:ind w:start="0" w:hanging="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3">
    <w:lvl w:ilvl="0">
      <w:numFmt w:val="decimal"/>
      <w:suff w:val="nothing"/>
      <w:lvlText w:val="%1"/>
      <w:lvlJc w:val="start"/>
      <w:pPr>
        <w:tabs>
          <w:tab w:val="num" w:pos="0"/>
        </w:tabs>
        <w:ind w:start="0" w:hanging="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00"/>
  <w:defaultTabStop w:val="720"/>
  <w:autoHyphenation w:val="true"/>
  <w:hyphenationZone w:val="0"/>
  <w:compat>
    <w:doNotExpandShiftReturn/>
    <w:usePrinterMetrics/>
    <w:compatSetting w:name="compatibilityMode" w:uri="http://schemas.microsoft.com/office/word" w:val="11"/>
  </w:compat>
  <w:docVars>
    <w:docVar w:name="FCAnalystN" w:val=""/>
    <w:docVar w:name="FCAnalystPhone" w:val=""/>
  </w:docVars>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overflowPunct w:val="false"/>
      <w:autoSpaceDE w:val="false"/>
      <w:bidi w:val="0"/>
      <w:textAlignment w:val="baseline"/>
    </w:pPr>
    <w:rPr>
      <w:rFonts w:ascii="Times New Roman" w:hAnsi="Times New Roman" w:eastAsia="Times New Roman" w:cs="Times New Roman"/>
      <w:color w:val="auto"/>
      <w:sz w:val="20"/>
      <w:szCs w:val="20"/>
      <w:lang w:val="en-US" w:bidi="ar-SA" w:eastAsia="zh-CN"/>
    </w:rPr>
  </w:style>
  <w:style w:type="paragraph" w:styleId="Heading1">
    <w:name w:val="heading 1"/>
    <w:basedOn w:val="Normal"/>
    <w:next w:val="Normal"/>
    <w:qFormat/>
    <w:pPr>
      <w:keepNext w:val="true"/>
      <w:numPr>
        <w:ilvl w:val="0"/>
        <w:numId w:val="1"/>
      </w:numPr>
      <w:spacing w:lineRule="auto" w:line="480"/>
      <w:outlineLvl w:val="0"/>
    </w:pPr>
    <w:rPr>
      <w:b/>
      <w:sz w:val="28"/>
      <w:u w:val="single"/>
    </w:rPr>
  </w:style>
  <w:style w:type="paragraph" w:styleId="Heading2">
    <w:name w:val="heading 2"/>
    <w:basedOn w:val="Normal"/>
    <w:next w:val="Normal"/>
    <w:qFormat/>
    <w:pPr>
      <w:keepNext w:val="true"/>
      <w:numPr>
        <w:ilvl w:val="1"/>
        <w:numId w:val="1"/>
      </w:numPr>
      <w:jc w:val="center"/>
      <w:outlineLvl w:val="1"/>
    </w:pPr>
    <w:rPr>
      <w:sz w:val="24"/>
    </w:rPr>
  </w:style>
  <w:style w:type="paragraph" w:styleId="Heading3">
    <w:name w:val="heading 3"/>
    <w:basedOn w:val="Normal"/>
    <w:next w:val="Normal"/>
    <w:qFormat/>
    <w:pPr>
      <w:keepNext w:val="true"/>
      <w:numPr>
        <w:ilvl w:val="2"/>
        <w:numId w:val="1"/>
      </w:numPr>
      <w:jc w:val="both"/>
      <w:outlineLvl w:val="2"/>
    </w:pPr>
    <w:rPr>
      <w:b/>
      <w:i/>
      <w:sz w:val="28"/>
    </w:rPr>
  </w:style>
  <w:style w:type="paragraph" w:styleId="Heading4">
    <w:name w:val="heading 4"/>
    <w:basedOn w:val="Normal"/>
    <w:next w:val="Normal"/>
    <w:qFormat/>
    <w:pPr>
      <w:keepNext w:val="true"/>
      <w:numPr>
        <w:ilvl w:val="3"/>
        <w:numId w:val="1"/>
      </w:numPr>
      <w:jc w:val="center"/>
      <w:outlineLvl w:val="3"/>
    </w:pPr>
    <w:rPr>
      <w:b/>
      <w:i/>
      <w:sz w:val="24"/>
    </w:rPr>
  </w:style>
  <w:style w:type="paragraph" w:styleId="Heading5">
    <w:name w:val="heading 5"/>
    <w:basedOn w:val="Normal"/>
    <w:next w:val="Normal"/>
    <w:qFormat/>
    <w:pPr>
      <w:keepNext w:val="true"/>
      <w:numPr>
        <w:ilvl w:val="4"/>
        <w:numId w:val="1"/>
      </w:numPr>
      <w:jc w:val="both"/>
      <w:outlineLvl w:val="4"/>
    </w:pPr>
    <w:rPr>
      <w:i/>
    </w:rPr>
  </w:style>
  <w:style w:type="paragraph" w:styleId="Heading6">
    <w:name w:val="heading 6"/>
    <w:basedOn w:val="Normal"/>
    <w:next w:val="Normal"/>
    <w:qFormat/>
    <w:pPr>
      <w:keepNext w:val="true"/>
      <w:numPr>
        <w:ilvl w:val="5"/>
        <w:numId w:val="1"/>
      </w:numPr>
      <w:jc w:val="both"/>
      <w:outlineLvl w:val="5"/>
    </w:pPr>
    <w:rPr/>
  </w:style>
  <w:style w:type="paragraph" w:styleId="Heading7">
    <w:name w:val="heading 7"/>
    <w:basedOn w:val="Normal"/>
    <w:next w:val="Normal"/>
    <w:qFormat/>
    <w:pPr>
      <w:keepNext w:val="true"/>
      <w:numPr>
        <w:ilvl w:val="6"/>
        <w:numId w:val="1"/>
      </w:numPr>
      <w:outlineLvl w:val="6"/>
    </w:pPr>
    <w:rPr>
      <w:i/>
    </w:rPr>
  </w:style>
  <w:style w:type="paragraph" w:styleId="Heading8">
    <w:name w:val="heading 8"/>
    <w:basedOn w:val="Normal"/>
    <w:next w:val="Normal"/>
    <w:qFormat/>
    <w:pPr>
      <w:keepNext w:val="true"/>
      <w:numPr>
        <w:ilvl w:val="7"/>
        <w:numId w:val="1"/>
      </w:numPr>
      <w:tabs>
        <w:tab w:val="clear" w:pos="720"/>
        <w:tab w:val="decimal" w:pos="5040" w:leader="none"/>
        <w:tab w:val="decimal" w:pos="8100" w:leader="none"/>
      </w:tabs>
      <w:ind w:firstLine="720" w:start="0" w:end="-720"/>
      <w:outlineLvl w:val="7"/>
    </w:pPr>
    <w:rPr>
      <w:sz w:val="24"/>
    </w:rPr>
  </w:style>
  <w:style w:type="paragraph" w:styleId="Heading9">
    <w:name w:val="heading 9"/>
    <w:basedOn w:val="Normal"/>
    <w:next w:val="Normal"/>
    <w:qFormat/>
    <w:pPr>
      <w:keepNext w:val="true"/>
      <w:numPr>
        <w:ilvl w:val="8"/>
        <w:numId w:val="1"/>
      </w:numPr>
      <w:outlineLvl w:val="8"/>
    </w:pPr>
    <w:rPr>
      <w:b/>
      <w:bCs/>
    </w:rPr>
  </w:style>
  <w:style w:type="character" w:styleId="WW8Num1z0">
    <w:name w:val="WW8Num1z0"/>
    <w:qFormat/>
    <w:rPr>
      <w:rFonts w:ascii="Symbol" w:hAnsi="Symbol" w:cs="Symbol"/>
    </w:rPr>
  </w:style>
  <w:style w:type="character" w:styleId="WW8Num1z1">
    <w:name w:val="WW8Num1z1"/>
    <w:qFormat/>
    <w:rPr>
      <w:rFonts w:ascii="Courier New" w:hAnsi="Courier New" w:cs="Courier New"/>
    </w:rPr>
  </w:style>
  <w:style w:type="character" w:styleId="WW8Num1z2">
    <w:name w:val="WW8Num1z2"/>
    <w:qFormat/>
    <w:rPr>
      <w:rFonts w:ascii="Wingdings" w:hAnsi="Wingdings" w:cs="Wingdings"/>
    </w:rPr>
  </w:style>
  <w:style w:type="character" w:styleId="WW8Num2z0">
    <w:name w:val="WW8Num2z0"/>
    <w:qFormat/>
    <w:rPr>
      <w:rFonts w:ascii="Symbol" w:hAnsi="Symbol" w:cs="Symbol"/>
    </w:rPr>
  </w:style>
  <w:style w:type="character" w:styleId="WW8Num2z1">
    <w:name w:val="WW8Num2z1"/>
    <w:qFormat/>
    <w:rPr>
      <w:rFonts w:ascii="Courier New" w:hAnsi="Courier New" w:cs="Courier New"/>
    </w:rPr>
  </w:style>
  <w:style w:type="character" w:styleId="WW8Num2z2">
    <w:name w:val="WW8Num2z2"/>
    <w:qFormat/>
    <w:rPr>
      <w:rFonts w:ascii="Wingdings" w:hAnsi="Wingdings" w:cs="Wingdings"/>
    </w:rPr>
  </w:style>
  <w:style w:type="character" w:styleId="DefaultParagraphFont">
    <w:name w:val="Default Paragraph Font"/>
    <w:qFormat/>
    <w:rPr/>
  </w:style>
  <w:style w:type="character" w:styleId="PageNumber">
    <w:name w:val="page number"/>
    <w:basedOn w:val="DefaultParagraphFont"/>
    <w:rPr/>
  </w:style>
  <w:style w:type="character" w:styleId="Analyst">
    <w:name w:val="Analyst"/>
    <w:basedOn w:val="DefaultParagraphFont"/>
    <w:qFormat/>
    <w:rPr>
      <w:rFonts w:ascii="Times New Roman" w:hAnsi="Times New Roman" w:cs="Times New Roman"/>
      <w:sz w:val="22"/>
    </w:rPr>
  </w:style>
  <w:style w:type="character" w:styleId="Date1">
    <w:name w:val="Date1"/>
    <w:basedOn w:val="DefaultParagraphFont"/>
    <w:qFormat/>
    <w:rPr>
      <w:rFonts w:ascii="Times New Roman" w:hAnsi="Times New Roman" w:cs="Times New Roman"/>
      <w:sz w:val="22"/>
    </w:rPr>
  </w:style>
  <w:style w:type="character" w:styleId="Assistant">
    <w:name w:val="Assistant"/>
    <w:basedOn w:val="DefaultParagraphFont"/>
    <w:qFormat/>
    <w:rPr>
      <w:rFonts w:ascii="Times New Roman" w:hAnsi="Times New Roman" w:cs="Times New Roman"/>
      <w:i/>
      <w:sz w:val="22"/>
    </w:rPr>
  </w:style>
  <w:style w:type="character" w:styleId="Hyperlink">
    <w:name w:val="Hyperlink"/>
    <w:basedOn w:val="DefaultParagraphFont"/>
    <w:rPr>
      <w:color w:val="0000FF"/>
      <w:u w:val="single"/>
    </w:rPr>
  </w:style>
  <w:style w:type="character" w:styleId="FollowedHyperlink">
    <w:name w:val="FollowedHyperlink"/>
    <w:basedOn w:val="DefaultParagraphFont"/>
    <w:rPr>
      <w:color w:val="800080"/>
      <w:u w:val="single"/>
    </w:rPr>
  </w:style>
  <w:style w:type="paragraph" w:styleId="Heading">
    <w:name w:val="Heading"/>
    <w:basedOn w:val="Normal"/>
    <w:next w:val="BodyText"/>
    <w:qFormat/>
    <w:pPr>
      <w:spacing w:lineRule="auto" w:line="480"/>
      <w:jc w:val="center"/>
    </w:pPr>
    <w:rPr>
      <w:b/>
      <w:sz w:val="28"/>
      <w:u w:val="single"/>
    </w:rPr>
  </w:style>
  <w:style w:type="paragraph" w:styleId="BodyText">
    <w:name w:val="Body Text"/>
    <w:basedOn w:val="Normal"/>
    <w:pPr>
      <w:spacing w:lineRule="auto" w:line="480"/>
    </w:pPr>
    <w:rPr>
      <w:sz w:val="28"/>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FormatBulletPoint">
    <w:name w:val="FormatBulletPoint"/>
    <w:basedOn w:val="Normal"/>
    <w:qFormat/>
    <w:pPr>
      <w:numPr>
        <w:ilvl w:val="0"/>
        <w:numId w:val="2"/>
      </w:numPr>
      <w:tabs>
        <w:tab w:val="clear" w:pos="720"/>
        <w:tab w:val="left" w:pos="360" w:leader="none"/>
      </w:tabs>
    </w:pPr>
    <w:rPr/>
  </w:style>
  <w:style w:type="paragraph" w:styleId="IndustryBanner">
    <w:name w:val="IndustryBanner"/>
    <w:basedOn w:val="Normal"/>
    <w:qFormat/>
    <w:pPr>
      <w:pBdr>
        <w:top w:val="double" w:sz="6" w:space="1" w:color="000000"/>
        <w:left w:val="double" w:sz="6" w:space="1" w:color="000000"/>
        <w:bottom w:val="double" w:sz="6" w:space="1" w:color="000000"/>
        <w:right w:val="double" w:sz="6" w:space="1" w:color="000000"/>
      </w:pBdr>
      <w:shd w:fill="000080" w:val="clear"/>
      <w:tabs>
        <w:tab w:val="clear" w:pos="720"/>
        <w:tab w:val="left" w:pos="5760" w:leader="none"/>
      </w:tabs>
    </w:pPr>
    <w:rPr>
      <w:i/>
      <w:color w:val="FFFFFF"/>
      <w:sz w:val="32"/>
    </w:rPr>
  </w:style>
  <w:style w:type="paragraph" w:styleId="CompanyBanner">
    <w:name w:val="CompanyBanner"/>
    <w:basedOn w:val="Normal"/>
    <w:qFormat/>
    <w:pPr>
      <w:spacing w:before="400" w:after="0"/>
      <w:jc w:val="center"/>
    </w:pPr>
    <w:rPr>
      <w:b/>
      <w:sz w:val="32"/>
    </w:rPr>
  </w:style>
  <w:style w:type="paragraph" w:styleId="TitleBanner">
    <w:name w:val="TitleBanner"/>
    <w:basedOn w:val="Normal"/>
    <w:next w:val="Normal"/>
    <w:qFormat/>
    <w:pPr>
      <w:pBdr>
        <w:bottom w:val="double" w:sz="6" w:space="1" w:color="000000"/>
      </w:pBdr>
      <w:tabs>
        <w:tab w:val="clear" w:pos="720"/>
        <w:tab w:val="right" w:pos="5580" w:leader="none"/>
        <w:tab w:val="right" w:pos="9450" w:leader="none"/>
      </w:tabs>
      <w:jc w:val="center"/>
    </w:pPr>
    <w:rPr>
      <w:i/>
      <w:sz w:val="28"/>
    </w:rPr>
  </w:style>
  <w:style w:type="paragraph" w:styleId="KeyPoint">
    <w:name w:val="KeyPoint"/>
    <w:basedOn w:val="Normal"/>
    <w:qFormat/>
    <w:pPr/>
    <w:rPr>
      <w:b/>
      <w:sz w:val="26"/>
    </w:rPr>
  </w:style>
  <w:style w:type="paragraph" w:styleId="BulletBanner">
    <w:name w:val="BulletBanner"/>
    <w:basedOn w:val="Normal"/>
    <w:qFormat/>
    <w:pPr>
      <w:numPr>
        <w:ilvl w:val="0"/>
        <w:numId w:val="3"/>
      </w:numPr>
      <w:tabs>
        <w:tab w:val="clear" w:pos="720"/>
        <w:tab w:val="left" w:pos="360" w:leader="none"/>
      </w:tabs>
      <w:spacing w:before="240" w:after="0"/>
      <w:ind w:hanging="360" w:start="360" w:end="0"/>
      <w:jc w:val="both"/>
    </w:pPr>
    <w:rPr>
      <w:sz w:val="22"/>
    </w:rPr>
  </w:style>
  <w:style w:type="paragraph" w:styleId="BodyText1">
    <w:name w:val="BodyText"/>
    <w:basedOn w:val="Normal"/>
    <w:qFormat/>
    <w:pPr>
      <w:jc w:val="both"/>
    </w:pPr>
    <w:rPr>
      <w:sz w:val="22"/>
    </w:rPr>
  </w:style>
  <w:style w:type="paragraph" w:styleId="BodyText2">
    <w:name w:val="Body Text 2"/>
    <w:basedOn w:val="Normal"/>
    <w:qFormat/>
    <w:pPr>
      <w:ind w:firstLine="720" w:start="0" w:end="0"/>
    </w:pPr>
    <w:rPr>
      <w:rFonts w:ascii="Palatino-Roman" w:hAnsi="Palatino-Roman" w:cs="Palatino-Roman"/>
      <w:sz w:val="24"/>
    </w:rPr>
  </w:style>
  <w:style w:type="paragraph" w:styleId="WW-BodyText2">
    <w:name w:val="WW-Body Text 2"/>
    <w:basedOn w:val="Normal"/>
    <w:qFormat/>
    <w:pPr>
      <w:ind w:firstLine="720" w:start="0" w:end="0"/>
      <w:jc w:val="both"/>
    </w:pPr>
    <w:rPr>
      <w:sz w:val="28"/>
    </w:rPr>
  </w:style>
  <w:style w:type="paragraph" w:styleId="WW-BodyText21">
    <w:name w:val="WW-Body Text 21"/>
    <w:basedOn w:val="Normal"/>
    <w:qFormat/>
    <w:pPr>
      <w:ind w:firstLine="720" w:start="0" w:end="0"/>
      <w:jc w:val="both"/>
    </w:pPr>
    <w:rPr>
      <w:sz w:val="24"/>
    </w:rPr>
  </w:style>
  <w:style w:type="paragraph" w:styleId="BodyText3">
    <w:name w:val="Body Text 3"/>
    <w:basedOn w:val="Normal"/>
    <w:qFormat/>
    <w:pPr>
      <w:jc w:val="both"/>
    </w:pPr>
    <w:rPr>
      <w:sz w:val="24"/>
    </w:rPr>
  </w:style>
  <w:style w:type="paragraph" w:styleId="BodyTextIndent">
    <w:name w:val="Body Text Indent"/>
    <w:basedOn w:val="Normal"/>
    <w:pPr>
      <w:ind w:firstLine="720" w:start="0" w:end="0"/>
      <w:jc w:val="both"/>
    </w:pPr>
    <w:rPr>
      <w:sz w:val="28"/>
    </w:rPr>
  </w:style>
  <w:style w:type="paragraph" w:styleId="BodyTextIndent2">
    <w:name w:val="Body Text Indent 2"/>
    <w:basedOn w:val="Normal"/>
    <w:qFormat/>
    <w:pPr>
      <w:overflowPunct w:val="true"/>
      <w:ind w:firstLine="720" w:start="0" w:end="0"/>
      <w:textAlignment w:val="auto"/>
    </w:pPr>
    <w:rPr>
      <w:sz w:val="28"/>
      <w:szCs w:val="24"/>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StyleNum">
    <w:name w:val="WW8StyleNum"/>
    <w:qFormat/>
  </w:style>
  <w:style w:type="numbering" w:styleId="WW8StyleNum1">
    <w:name w:val="WW8Style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wmf"/><Relationship Id="rId3" Type="http://schemas.openxmlformats.org/officeDocument/2006/relationships/footer" Target="foot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IndustryMN_New</Template>
  <TotalTime>7</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2001-10-18T18:32:00Z</dcterms:created>
  <dc:creator>Susan Varga</dc:creator>
  <dc:description/>
  <dc:language>en-CA</dc:language>
  <cp:lastModifiedBy>svarga</cp:lastModifiedBy>
  <cp:lastPrinted>2001-10-18T17:02:00Z</cp:lastPrinted>
  <dcterms:modified xsi:type="dcterms:W3CDTF">2001-10-18T18:38:00Z</dcterms:modified>
  <cp:revision>3</cp:revision>
  <dc:subject/>
  <dc:title>Industry Name</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lreadySaved">
    <vt:lpwstr>1</vt:lpwstr>
  </property>
  <property fmtid="{D5CDD505-2E9C-101B-9397-08002B2CF9AE}" pid="3" name="CounterPath">
    <vt:lpwstr>\\RESEARCH1\SYS\MMNotes\</vt:lpwstr>
  </property>
  <property fmtid="{D5CDD505-2E9C-101B-9397-08002B2CF9AE}" pid="4" name="CurrentPrice">
    <vt:lpwstr>$</vt:lpwstr>
  </property>
  <property fmtid="{D5CDD505-2E9C-101B-9397-08002B2CF9AE}" pid="5" name="FCAnalystForTemp">
    <vt:lpwstr>Lawrence Kudlow</vt:lpwstr>
  </property>
  <property fmtid="{D5CDD505-2E9C-101B-9397-08002B2CF9AE}" pid="6" name="FCAnalystN1">
    <vt:lpwstr>Kudlow, Lawrence</vt:lpwstr>
  </property>
  <property fmtid="{D5CDD505-2E9C-101B-9397-08002B2CF9AE}" pid="7" name="FCAnalystPhone">
    <vt:lpwstr>(212) 409-5213</vt:lpwstr>
  </property>
  <property fmtid="{D5CDD505-2E9C-101B-9397-08002B2CF9AE}" pid="8" name="FCIndustry">
    <vt:lpwstr>Kudlow's Commentary</vt:lpwstr>
  </property>
  <property fmtid="{D5CDD505-2E9C-101B-9397-08002B2CF9AE}" pid="9" name="FCIndustryID">
    <vt:lpwstr> 159</vt:lpwstr>
  </property>
  <property fmtid="{D5CDD505-2E9C-101B-9397-08002B2CF9AE}" pid="10" name="FCTitle">
    <vt:lpwstr>Below Potential</vt:lpwstr>
  </property>
  <property fmtid="{D5CDD505-2E9C-101B-9397-08002B2CF9AE}" pid="11" name="FirstCallPath">
    <vt:lpwstr>\\RESEARCH1\SYS\MMNotes\FirstCall\</vt:lpwstr>
  </property>
  <property fmtid="{D5CDD505-2E9C-101B-9397-08002B2CF9AE}" pid="12" name="FirstTPath">
    <vt:lpwstr>\\RESEARCH1\SYS\MMNOTES\MorningNotes\</vt:lpwstr>
  </property>
  <property fmtid="{D5CDD505-2E9C-101B-9397-08002B2CF9AE}" pid="13" name="FstCategoryID">
    <vt:lpwstr>2</vt:lpwstr>
  </property>
  <property fmtid="{D5CDD505-2E9C-101B-9397-08002B2CF9AE}" pid="14" name="FstCategoryN">
    <vt:lpwstr>Notes</vt:lpwstr>
  </property>
  <property fmtid="{D5CDD505-2E9C-101B-9397-08002B2CF9AE}" pid="15" name="FstFileN">
    <vt:lpwstr>\\RESEARCH1\SYS\MMNOTES\MorningNotes\Kudlow021316.doc</vt:lpwstr>
  </property>
  <property fmtid="{D5CDD505-2E9C-101B-9397-08002B2CF9AE}" pid="16" name="INGOwnFileN">
    <vt:lpwstr>Kudlow021316.doc</vt:lpwstr>
  </property>
  <property fmtid="{D5CDD505-2E9C-101B-9397-08002B2CF9AE}" pid="17" name="INGPath">
    <vt:lpwstr>\\RESEARCH1\SYS\MMNotes\PDF\OUT\</vt:lpwstr>
  </property>
  <property fmtid="{D5CDD505-2E9C-101B-9397-08002B2CF9AE}" pid="18" name="LocalTemplatePath">
    <vt:lpwstr>C:\RemoteModule\</vt:lpwstr>
  </property>
  <property fmtid="{D5CDD505-2E9C-101B-9397-08002B2CF9AE}" pid="19" name="OfficeTemplatePath">
    <vt:lpwstr>\\RESEARCH1\SYS\MMNotes\Blitz\VAD\</vt:lpwstr>
  </property>
  <property fmtid="{D5CDD505-2E9C-101B-9397-08002B2CF9AE}" pid="20" name="OwnPath">
    <vt:lpwstr>U:\Kudlow021316.doc</vt:lpwstr>
  </property>
  <property fmtid="{D5CDD505-2E9C-101B-9397-08002B2CF9AE}" pid="21" name="analcode1">
    <vt:lpwstr>575</vt:lpwstr>
  </property>
  <property fmtid="{D5CDD505-2E9C-101B-9397-08002B2CF9AE}" pid="22" name="cnMain">
    <vt:lpwstr>Driver={SQL Server};Server=NYWSQL01;Uid=Mikhail;Pwd=;Database=Production</vt:lpwstr>
  </property>
  <property fmtid="{D5CDD505-2E9C-101B-9397-08002B2CF9AE}" pid="23" name="exePath">
    <vt:lpwstr>V:\MMNOTES</vt:lpwstr>
  </property>
  <property fmtid="{D5CDD505-2E9C-101B-9397-08002B2CF9AE}" pid="24" name="subCategoryN">
    <vt:lpwstr>Update</vt:lpwstr>
  </property>
  <property fmtid="{D5CDD505-2E9C-101B-9397-08002B2CF9AE}" pid="25" name="templatePath">
    <vt:lpwstr>\\RESEARCH1\SYS\MMNotes\Blitz\VAD\</vt:lpwstr>
  </property>
</Properties>
</file>