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t>Kudlow's Commentary</w:t>
      </w:r>
    </w:p>
    <w:p>
      <w:pPr>
        <w:pStyle w:val="TitleBanner"/>
        <w:jc w:val="both"/>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Vision, Not Murk</w:t>
      </w:r>
    </w:p>
    <w:p>
      <w:pPr>
        <w:pStyle w:val="Heading4"/>
        <w:ind w:hanging="0" w:start="0"/>
        <w:rPr>
          <w:sz w:val="28"/>
        </w:rPr>
      </w:pPr>
      <w:r>
        <w:rPr>
          <w:sz w:val="28"/>
        </w:rPr>
        <w:t xml:space="preserve">By Lawrence Kudlow </w:t>
      </w:r>
    </w:p>
    <w:p>
      <w:pPr>
        <w:pStyle w:val="Normal"/>
        <w:pBdr>
          <w:bottom w:val="double" w:sz="6" w:space="1" w:color="000000"/>
        </w:pBdr>
        <w:tabs>
          <w:tab w:val="clear" w:pos="720"/>
          <w:tab w:val="right" w:pos="5587" w:leader="none"/>
          <w:tab w:val="right" w:pos="9360" w:leader="none"/>
        </w:tabs>
        <w:jc w:val="both"/>
        <w:rPr>
          <w:rStyle w:val="Date1"/>
          <w:sz w:val="28"/>
        </w:rPr>
      </w:pPr>
      <w:r>
        <w:rPr>
          <w:sz w:val="28"/>
        </w:rPr>
      </w:r>
    </w:p>
    <w:p>
      <w:pPr>
        <w:pStyle w:val="Normal"/>
        <w:pBdr>
          <w:bottom w:val="double" w:sz="6" w:space="1" w:color="000000"/>
        </w:pBdr>
        <w:tabs>
          <w:tab w:val="clear" w:pos="720"/>
          <w:tab w:val="right" w:pos="5328" w:leader="none"/>
          <w:tab w:val="right" w:pos="9504" w:leader="none"/>
        </w:tabs>
        <w:jc w:val="both"/>
        <w:rPr/>
      </w:pPr>
      <w:r>
        <w:rPr>
          <w:rStyle w:val="Date1"/>
          <w:b/>
          <w:bCs/>
        </w:rPr>
        <w:t>October 17,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BodyText"/>
        <w:spacing w:lineRule="auto" w:line="240"/>
        <w:jc w:val="both"/>
        <w:rPr>
          <w:u w:val="single"/>
        </w:rPr>
      </w:pPr>
      <w:r>
        <w:rPr>
          <w:u w:val="single"/>
        </w:rPr>
      </w:r>
    </w:p>
    <w:p>
      <w:pPr>
        <w:pStyle w:val="BodyText"/>
        <w:spacing w:lineRule="auto" w:line="240"/>
        <w:jc w:val="both"/>
        <w:rPr/>
      </w:pPr>
      <w:r>
        <w:rPr/>
        <w:tab/>
        <w:t xml:space="preserve">Fed chairman Alan Greenspan presented another of his cover-your-keister tired old testimonies before the Joint Economic Committee, and the Dow Jones index dropped 150 points in response.  </w:t>
      </w:r>
    </w:p>
    <w:p>
      <w:pPr>
        <w:pStyle w:val="Normal"/>
        <w:jc w:val="both"/>
        <w:rPr>
          <w:sz w:val="28"/>
        </w:rPr>
      </w:pPr>
      <w:r>
        <w:rPr>
          <w:sz w:val="28"/>
        </w:rPr>
      </w:r>
    </w:p>
    <w:p>
      <w:pPr>
        <w:pStyle w:val="Normal"/>
        <w:jc w:val="both"/>
        <w:rPr/>
      </w:pPr>
      <w:r>
        <w:rPr>
          <w:sz w:val="28"/>
        </w:rPr>
        <w:tab/>
        <w:t xml:space="preserve">The maestro tried to make the case that the economy was stabilizing in the </w:t>
      </w:r>
      <w:r>
        <w:drawing>
          <wp:anchor behindDoc="0" distT="0" distB="0" distL="0" distR="114935" simplePos="0" locked="0" layoutInCell="0" allowOverlap="1" relativeHeight="6">
            <wp:simplePos x="0" y="0"/>
            <wp:positionH relativeFrom="column">
              <wp:align>left</wp:align>
            </wp:positionH>
            <wp:positionV relativeFrom="paragraph">
              <wp:posOffset>274320</wp:posOffset>
            </wp:positionV>
            <wp:extent cx="4096385" cy="2894965"/>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9" r="-7" b="-9"/>
                    <a:stretch>
                      <a:fillRect/>
                    </a:stretch>
                  </pic:blipFill>
                  <pic:spPr bwMode="auto">
                    <a:xfrm>
                      <a:off x="0" y="0"/>
                      <a:ext cx="4096385" cy="2894965"/>
                    </a:xfrm>
                    <a:prstGeom prst="rect">
                      <a:avLst/>
                    </a:prstGeom>
                    <a:noFill/>
                  </pic:spPr>
                </pic:pic>
              </a:graphicData>
            </a:graphic>
          </wp:anchor>
        </w:drawing>
      </w:r>
      <w:r>
        <w:rPr>
          <w:sz w:val="28"/>
        </w:rPr>
        <w:t xml:space="preserve"> period immediately before the terrorist bombing actions.  But it’s not a credible case.  Data on production, employment and business capital spending for August and early September clearly showed that the economy was sinking into recession even before the shock from the war on terrorism.  </w:t>
      </w:r>
    </w:p>
    <w:p>
      <w:pPr>
        <w:pStyle w:val="Normal"/>
        <w:jc w:val="both"/>
        <w:rPr>
          <w:sz w:val="28"/>
        </w:rPr>
      </w:pPr>
      <w:r>
        <w:rPr>
          <w:sz w:val="28"/>
        </w:rPr>
      </w:r>
    </w:p>
    <w:p>
      <w:pPr>
        <w:pStyle w:val="Normal"/>
        <w:jc w:val="both"/>
        <w:rPr>
          <w:sz w:val="28"/>
        </w:rPr>
      </w:pPr>
      <w:r>
        <w:rPr>
          <w:sz w:val="28"/>
        </w:rPr>
        <w:tab/>
        <w:t xml:space="preserve">The central bank head was unusually opaque even by his own standards, providing virtually no clues about the Fed’s monetary strategy for the next several months.  He could have informed the public, but instead he chose not to.  </w:t>
      </w:r>
    </w:p>
    <w:p>
      <w:pPr>
        <w:pStyle w:val="Normal"/>
        <w:jc w:val="both"/>
        <w:rPr>
          <w:sz w:val="28"/>
        </w:rPr>
      </w:pPr>
      <w:r>
        <w:rPr>
          <w:sz w:val="28"/>
        </w:rPr>
      </w:r>
    </w:p>
    <w:p>
      <w:pPr>
        <w:pStyle w:val="Normal"/>
        <w:jc w:val="both"/>
        <w:rPr>
          <w:sz w:val="28"/>
        </w:rPr>
      </w:pPr>
      <w:r>
        <w:rPr>
          <w:sz w:val="28"/>
        </w:rPr>
        <w:tab/>
        <w:t>He could have re-pledged to provide whatever additional liquidity flows might be necessary in the event of additional near-term war shocks or unexpectedly significant economic declines.  He did acknowledge the presence of an unusually high degree of risk for businesses and consumers, but instead of proposing clear economic and monetary solutions, he lapsed back into warnings about fiscal stimulus plans that might adversely affect long-term interest rates.</w:t>
      </w:r>
    </w:p>
    <w:p>
      <w:pPr>
        <w:pStyle w:val="Normal"/>
        <w:jc w:val="both"/>
        <w:rPr>
          <w:sz w:val="28"/>
        </w:rPr>
      </w:pPr>
      <w:r>
        <w:rPr>
          <w:sz w:val="28"/>
        </w:rPr>
      </w:r>
    </w:p>
    <w:p>
      <w:pPr>
        <w:pStyle w:val="Normal"/>
        <w:jc w:val="both"/>
        <w:rPr>
          <w:sz w:val="28"/>
        </w:rPr>
      </w:pPr>
      <w:r>
        <w:rPr>
          <w:sz w:val="28"/>
        </w:rPr>
        <w:tab/>
        <w:t xml:space="preserve">For some reason, the descriptive word that comes to my mind about this sort of evasiveness is murky.  Webster’s New Collegiate Dictionary defines murky as “characterized by a heavy dimness or obscurity caused by or like that caused by overhanging fog or smoke; darkly vague or obscure, as in ‘official rhetoric’.” As a noun, murk is defined as gloom, darkness, also fog.  </w:t>
      </w:r>
    </w:p>
    <w:p>
      <w:pPr>
        <w:pStyle w:val="Normal"/>
        <w:jc w:val="both"/>
        <w:rPr>
          <w:sz w:val="28"/>
        </w:rPr>
      </w:pPr>
      <w:r>
        <w:rPr>
          <w:sz w:val="28"/>
        </w:rPr>
      </w:r>
    </w:p>
    <w:p>
      <w:pPr>
        <w:pStyle w:val="Normal"/>
        <w:jc w:val="both"/>
        <w:rPr>
          <w:sz w:val="28"/>
        </w:rPr>
      </w:pPr>
      <w:r>
        <w:rPr>
          <w:sz w:val="28"/>
        </w:rPr>
        <w:tab/>
        <w:t xml:space="preserve">Apart from all this murk, the Fed has injected a net increase of $35 billion in new liquidity, while reducing its fed funds policy rate a full percentage point to 2½%.  These are appropriate actions for an economy in the throes of deflationary recession.  </w:t>
      </w:r>
    </w:p>
    <w:p>
      <w:pPr>
        <w:pStyle w:val="Normal"/>
        <w:jc w:val="both"/>
        <w:rPr>
          <w:sz w:val="28"/>
        </w:rPr>
      </w:pPr>
      <w:r>
        <w:rPr>
          <w:sz w:val="28"/>
        </w:rPr>
      </w:r>
    </w:p>
    <w:p>
      <w:pPr>
        <w:pStyle w:val="Normal"/>
        <w:jc w:val="both"/>
        <w:rPr>
          <w:sz w:val="28"/>
        </w:rPr>
      </w:pPr>
      <w:r>
        <w:rPr>
          <w:sz w:val="28"/>
        </w:rPr>
        <w:tab/>
        <w:t xml:space="preserve">The liquidity-sensitive gold price has appreciated 5% since 9/11, a good signal.  Stock markets have recovered by 12% to 15%, another good signal that next year’s business outlook could be improving.  </w:t>
      </w:r>
    </w:p>
    <w:p>
      <w:pPr>
        <w:pStyle w:val="Normal"/>
        <w:jc w:val="both"/>
        <w:rPr>
          <w:sz w:val="28"/>
        </w:rPr>
      </w:pPr>
      <w:r>
        <w:rPr>
          <w:sz w:val="28"/>
        </w:rPr>
      </w:r>
    </w:p>
    <w:p>
      <w:pPr>
        <w:pStyle w:val="Normal"/>
        <w:jc w:val="both"/>
        <w:rPr/>
      </w:pPr>
      <w:r>
        <w:rPr>
          <w:sz w:val="28"/>
        </w:rPr>
        <w:tab/>
        <w:t xml:space="preserve">But it’s also worth noting that broad-based commodity indexes are still  </w:t>
      </w:r>
      <w:r>
        <w:drawing>
          <wp:anchor behindDoc="0" distT="0" distB="0" distL="0" distR="114935" simplePos="0" locked="0" layoutInCell="0" allowOverlap="1" relativeHeight="7">
            <wp:simplePos x="0" y="0"/>
            <wp:positionH relativeFrom="column">
              <wp:align>left</wp:align>
            </wp:positionH>
            <wp:positionV relativeFrom="paragraph">
              <wp:posOffset>635</wp:posOffset>
            </wp:positionV>
            <wp:extent cx="4023360" cy="3017520"/>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5" r="-4" b="-5"/>
                    <a:stretch>
                      <a:fillRect/>
                    </a:stretch>
                  </pic:blipFill>
                  <pic:spPr bwMode="auto">
                    <a:xfrm>
                      <a:off x="0" y="0"/>
                      <a:ext cx="4023360" cy="3017520"/>
                    </a:xfrm>
                    <a:prstGeom prst="rect">
                      <a:avLst/>
                    </a:prstGeom>
                    <a:noFill/>
                  </pic:spPr>
                </pic:pic>
              </a:graphicData>
            </a:graphic>
          </wp:anchor>
        </w:drawing>
      </w:r>
      <w:r>
        <w:rPr>
          <w:sz w:val="28"/>
        </w:rPr>
        <w:t xml:space="preserve"> slumping badly.  According to the commodity research bureau composite, which has fallen nearly 20% this year, every price category is registering deflationary recession: industrials are down 38%, energy is off 36%, livestock and meats have lost 12% and grains have given up 9%.  The Journal of Commerce index of industrial commodities has declined 14% year-to-date.  </w:t>
      </w:r>
    </w:p>
    <w:p>
      <w:pPr>
        <w:pStyle w:val="Normal"/>
        <w:jc w:val="both"/>
        <w:rPr>
          <w:sz w:val="28"/>
        </w:rPr>
      </w:pPr>
      <w:r>
        <w:rPr>
          <w:sz w:val="28"/>
        </w:rPr>
      </w:r>
    </w:p>
    <w:p>
      <w:pPr>
        <w:pStyle w:val="Normal"/>
        <w:jc w:val="both"/>
        <w:rPr>
          <w:sz w:val="28"/>
        </w:rPr>
      </w:pPr>
      <w:r>
        <w:rPr>
          <w:sz w:val="28"/>
        </w:rPr>
        <w:tab/>
        <w:t xml:space="preserve">While Boston economist David Ransom argues in a recent report that economic recovery generally occurs a year after a sharp commodity decline, there can be no question that slumping commodities, especially industrial commodity price drops, show that current business conditions are still mired in recession.  </w:t>
      </w:r>
    </w:p>
    <w:p>
      <w:pPr>
        <w:pStyle w:val="Normal"/>
        <w:jc w:val="both"/>
        <w:rPr>
          <w:sz w:val="28"/>
        </w:rPr>
      </w:pPr>
      <w:r>
        <w:rPr>
          <w:sz w:val="28"/>
        </w:rPr>
      </w:r>
    </w:p>
    <w:p>
      <w:pPr>
        <w:pStyle w:val="Normal"/>
        <w:jc w:val="both"/>
        <w:rPr>
          <w:sz w:val="28"/>
        </w:rPr>
      </w:pPr>
      <w:r>
        <w:rPr>
          <w:sz w:val="28"/>
        </w:rPr>
        <w:tab/>
        <w:t xml:space="preserve">If there is any good news in this commodity deflation, it surely foreshadows a near zero future inflation rate that will keep interest rates down.  My guess is even the poorly constructed consumer price index, and even the stubborn services component of that index, will produce breathtakingly low inflation over the next twelve to eighteen months at least.  Broader inflation measures such as the consumer spending deflator could fall to one-half of one percent.  Certainly the positive shock of declining energy prices will stimulate economic growth and reduce inflation in the period ahead.  </w:t>
      </w:r>
    </w:p>
    <w:p>
      <w:pPr>
        <w:pStyle w:val="Normal"/>
        <w:jc w:val="both"/>
        <w:rPr>
          <w:sz w:val="28"/>
        </w:rPr>
      </w:pPr>
      <w:r>
        <w:rPr>
          <w:sz w:val="28"/>
        </w:rPr>
      </w:r>
    </w:p>
    <w:p>
      <w:pPr>
        <w:pStyle w:val="Normal"/>
        <w:jc w:val="both"/>
        <w:rPr>
          <w:sz w:val="28"/>
        </w:rPr>
      </w:pPr>
      <w:r>
        <w:rPr>
          <w:sz w:val="28"/>
        </w:rPr>
        <w:tab/>
        <w:t xml:space="preserve">Relative to domestic commodity prices, the purchasing power value of the U.S. dollar has appreciated 20% this year.  Relative to major foreign exchange rates, the dollar exchange index year-to-date has appreciated 5%.  When a currency’s domestic and international value goes up, its underlying inflation rate goes down.  Lower interest rates follow obediently. </w:t>
      </w:r>
    </w:p>
    <w:p>
      <w:pPr>
        <w:pStyle w:val="Normal"/>
        <w:jc w:val="both"/>
        <w:rPr>
          <w:sz w:val="28"/>
        </w:rPr>
      </w:pPr>
      <w:r>
        <w:rPr>
          <w:sz w:val="28"/>
        </w:rPr>
      </w:r>
    </w:p>
    <w:p>
      <w:pPr>
        <w:pStyle w:val="Normal"/>
        <w:jc w:val="both"/>
        <w:rPr>
          <w:sz w:val="28"/>
        </w:rPr>
      </w:pPr>
      <w:r>
        <w:rPr>
          <w:sz w:val="28"/>
        </w:rPr>
        <w:tab/>
        <w:t xml:space="preserve">That is why Greenspan’s obsession over the impact of tax-cuts on higher bond rates is so hard to fathom.  In meeting after meeting on Capitol Hill he has warned lawmakers that budget deficits will raise bond yields and depress growth.  Carrying this illogical logic even further, Treasury Secretary Paul O’Neill has even warned that deficit finance will raise the inflation rate.  </w:t>
      </w:r>
    </w:p>
    <w:p>
      <w:pPr>
        <w:pStyle w:val="Normal"/>
        <w:jc w:val="both"/>
        <w:rPr>
          <w:sz w:val="28"/>
        </w:rPr>
      </w:pPr>
      <w:r>
        <w:rPr>
          <w:sz w:val="28"/>
        </w:rPr>
      </w:r>
    </w:p>
    <w:p>
      <w:pPr>
        <w:pStyle w:val="Normal"/>
        <w:jc w:val="both"/>
        <w:rPr>
          <w:sz w:val="28"/>
        </w:rPr>
      </w:pPr>
      <w:r>
        <w:rPr>
          <w:sz w:val="28"/>
        </w:rPr>
        <w:tab/>
        <w:t xml:space="preserve">These views are contradicted by a recent memo from the Senate Budget Committee, where it is noted that large budget deficits as a share of GDP in the 1980s and early 1990s coincided with a long-term decline in interest rates.  Ten-year Treasury rates declined nearly 11 percentage points between 1980 and 1993, while 91-day Treasury bill rates descended 13 percentage points.  Since 1994, interest rates have bounced up and down as the Federal government shifted from deficits to surpluses.  </w:t>
      </w:r>
    </w:p>
    <w:p>
      <w:pPr>
        <w:pStyle w:val="Normal"/>
        <w:jc w:val="both"/>
        <w:rPr>
          <w:sz w:val="28"/>
        </w:rPr>
      </w:pPr>
      <w:r>
        <w:rPr>
          <w:sz w:val="28"/>
        </w:rPr>
      </w:r>
    </w:p>
    <w:p>
      <w:pPr>
        <w:pStyle w:val="Normal"/>
        <w:jc w:val="both"/>
        <w:rPr>
          <w:sz w:val="28"/>
        </w:rPr>
      </w:pPr>
      <w:r>
        <w:rPr>
          <w:sz w:val="28"/>
        </w:rPr>
        <w:tab/>
        <w:t xml:space="preserve">Even more, as an inflation proxy, the CRB commodities index dropped by nearly one-half during the budget deficit period, correctly capturing the government’s reported inflation decline of about 7 percentage points.  Since the surplus period of 1994 to 2001, inflation has slipped even further.  </w:t>
      </w:r>
    </w:p>
    <w:p>
      <w:pPr>
        <w:pStyle w:val="Normal"/>
        <w:jc w:val="both"/>
        <w:rPr>
          <w:sz w:val="28"/>
        </w:rPr>
      </w:pPr>
      <w:r>
        <w:rPr>
          <w:sz w:val="28"/>
        </w:rPr>
      </w:r>
    </w:p>
    <w:p>
      <w:pPr>
        <w:pStyle w:val="Normal"/>
        <w:jc w:val="both"/>
        <w:rPr>
          <w:sz w:val="28"/>
        </w:rPr>
      </w:pPr>
      <w:r>
        <w:rPr>
          <w:sz w:val="28"/>
        </w:rPr>
        <w:tab/>
        <w:t xml:space="preserve">If Mr. Greenspan were analytically honest about the fiscal past, he would note the importance of supply-side policies that significantly reduced marginal tax-rates and thoroughly deregulated the U.S. economy.  As a result of these economic growth policies, a massive flood of new investment capital, work effort and production absorbed the existing money supply and slayed the anti-growth evils of double-digit inflation and interest rates.  </w:t>
      </w:r>
    </w:p>
    <w:p>
      <w:pPr>
        <w:pStyle w:val="Normal"/>
        <w:jc w:val="both"/>
        <w:rPr>
          <w:sz w:val="28"/>
        </w:rPr>
      </w:pPr>
      <w:r>
        <w:rPr>
          <w:sz w:val="28"/>
        </w:rPr>
      </w:r>
    </w:p>
    <w:p>
      <w:pPr>
        <w:pStyle w:val="Normal"/>
        <w:jc w:val="both"/>
        <w:rPr>
          <w:sz w:val="28"/>
        </w:rPr>
      </w:pPr>
      <w:r>
        <w:rPr>
          <w:sz w:val="28"/>
        </w:rPr>
        <w:tab/>
        <w:t xml:space="preserve">Right now the ailing U.S. economy, caught between the twin risks of war and recession, needs a supply-side jolt.  If it pays more, after-tax, to invest, take risks, produce and work, then these economic factors will be supplied in greater abundance.  If in the short-run the budget moves into deficit, it is of no consequence.  A $100 billion tax-cut that reduces marginal rates on capital, businesses and individuals will in two or three years generate a sufficient overflow of national income from stronger economic growth to replenish budget surpluses in due course.  </w:t>
      </w:r>
    </w:p>
    <w:p>
      <w:pPr>
        <w:pStyle w:val="Normal"/>
        <w:jc w:val="both"/>
        <w:rPr>
          <w:sz w:val="28"/>
        </w:rPr>
      </w:pPr>
      <w:r>
        <w:rPr>
          <w:sz w:val="28"/>
        </w:rPr>
      </w:r>
    </w:p>
    <w:p>
      <w:pPr>
        <w:pStyle w:val="Normal"/>
        <w:jc w:val="both"/>
        <w:rPr>
          <w:sz w:val="28"/>
        </w:rPr>
      </w:pPr>
      <w:r>
        <w:rPr>
          <w:sz w:val="28"/>
        </w:rPr>
        <w:tab/>
        <w:t>Any near-term deficits would be the lowest of the past five cyclical recessions.  Is this not an acceptable trade-off for a true economic growth vision?  Rather than murk, we need vision.  Vision wins wars.</w:t>
      </w:r>
    </w:p>
    <w:p>
      <w:pPr>
        <w:pStyle w:val="Normal"/>
        <w:jc w:val="both"/>
        <w:rPr>
          <w:sz w:val="28"/>
        </w:rPr>
      </w:pPr>
      <w:r>
        <w:rPr>
          <w:sz w:val="28"/>
        </w:rPr>
      </w:r>
    </w:p>
    <w:p>
      <w:pPr>
        <w:pStyle w:val="Normal"/>
        <w:overflowPunct w:val="true"/>
        <w:jc w:val="both"/>
        <w:textAlignment w:val="auto"/>
        <w:rPr>
          <w:sz w:val="28"/>
          <w:szCs w:val="24"/>
        </w:rPr>
      </w:pPr>
      <w:r>
        <w:rPr>
          <w:sz w:val="28"/>
          <w:szCs w:val="24"/>
        </w:rPr>
        <w:tab/>
        <w:tab/>
        <w:tab/>
        <w:tab/>
        <w:tab/>
        <w:tab/>
        <w:tab/>
        <w:tab/>
        <w:tab/>
      </w:r>
    </w:p>
    <w:p>
      <w:pPr>
        <w:pStyle w:val="Normal"/>
        <w:overflowPunct w:val="true"/>
        <w:ind w:firstLine="720" w:end="0"/>
        <w:jc w:val="both"/>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t xml:space="preserve"> </w:t>
      </w:r>
    </w:p>
    <w:p>
      <w:pPr>
        <w:pStyle w:val="Normal"/>
        <w:overflowPunct w:val="true"/>
        <w:ind w:firstLine="720" w:end="0"/>
        <w:jc w:val="both"/>
        <w:textAlignment w:val="auto"/>
        <w:rPr>
          <w:sz w:val="28"/>
          <w:szCs w:val="24"/>
        </w:rPr>
      </w:pPr>
      <w:r>
        <w:rPr>
          <w:sz w:val="28"/>
          <w:szCs w:val="24"/>
        </w:rPr>
      </w:r>
    </w:p>
    <w:p>
      <w:pPr>
        <w:pStyle w:val="Normal"/>
        <w:overflowPunct w:val="true"/>
        <w:textAlignment w:val="auto"/>
        <w:rPr>
          <w:rFonts w:ascii="Arial" w:hAnsi="Arial" w:cs="Arial"/>
          <w:sz w:val="24"/>
          <w:szCs w:val="24"/>
        </w:rPr>
      </w:pPr>
      <w:r>
        <w:rPr>
          <w:rFonts w:cs="Arial" w:ascii="Arial" w:hAnsi="Arial"/>
          <w:sz w:val="24"/>
          <w:szCs w:val="24"/>
        </w:rPr>
      </w:r>
    </w:p>
    <w:p>
      <w:pPr>
        <w:pStyle w:val="Normal"/>
        <w:jc w:val="both"/>
        <w:rPr>
          <w:rFonts w:ascii="Arial" w:hAnsi="Arial" w:cs="Arial"/>
          <w:sz w:val="28"/>
          <w:szCs w:val="24"/>
        </w:rPr>
      </w:pPr>
      <w:r>
        <w:rPr>
          <w:rFonts w:cs="Arial" w:ascii="Arial" w:hAnsi="Arial"/>
          <w:sz w:val="28"/>
          <w:szCs w:val="24"/>
        </w:rPr>
      </w:r>
    </w:p>
    <w:p>
      <w:pPr>
        <w:pStyle w:val="Normal"/>
        <w:ind w:firstLine="720" w:end="0"/>
        <w:jc w:val="both"/>
        <w:rPr>
          <w:sz w:val="28"/>
        </w:rPr>
      </w:pPr>
      <w:r>
        <w:rPr>
          <w:sz w:val="28"/>
        </w:rPr>
        <w:tab/>
        <w:t xml:space="preserve"> </w:t>
      </w:r>
    </w:p>
    <w:p>
      <w:pPr>
        <w:pStyle w:val="Normal"/>
        <w:jc w:val="both"/>
        <w:rPr>
          <w:sz w:val="28"/>
        </w:rPr>
      </w:pPr>
      <w:r>
        <w:rPr>
          <w:sz w:val="28"/>
        </w:rPr>
      </w:r>
    </w:p>
    <w:p>
      <w:pPr>
        <w:pStyle w:val="Normal"/>
        <w:jc w:val="both"/>
        <w:rPr/>
      </w:pPr>
      <w:r>
        <w:rPr/>
        <w:tab/>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jc w:val="both"/>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jc w:val="both"/>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www.kudlow.com</w:t>
            </w:r>
          </w:p>
        </w:tc>
      </w:tr>
    </w:tbl>
    <w:p>
      <w:pPr>
        <w:pStyle w:val="BodyText"/>
        <w:spacing w:lineRule="auto" w:line="240"/>
        <w:jc w:val="both"/>
        <w:rPr/>
      </w:pPr>
      <w:r>
        <w:rPr/>
      </w:r>
    </w:p>
    <w:sectPr>
      <w:footerReference w:type="default" r:id="rId4"/>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2001-10-17T19:13:00Z</dcterms:created>
  <dc:creator>Susan Varga</dc:creator>
  <dc:description/>
  <dc:language>en-CA</dc:language>
  <cp:lastModifiedBy>svarga</cp:lastModifiedBy>
  <cp:lastPrinted>2001-10-17T17:43:00Z</cp:lastPrinted>
  <dcterms:modified xsi:type="dcterms:W3CDTF">2001-10-17T19:18:00Z</dcterms:modified>
  <cp:revision>4</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