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xlsx" ContentType="application/vnd.openxmlformats-officedocument.spreadsheetml.shee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dustryBanner"/>
        <w:jc w:val="both"/>
        <w:rPr/>
      </w:pPr>
      <w:r>
        <w:rPr/>
      </w:r>
    </w:p>
    <w:p>
      <w:pPr>
        <w:pStyle w:val="IndustryBanner"/>
        <w:jc w:val="both"/>
        <w:rPr/>
      </w:pPr>
      <w:r>
        <w:rPr/>
      </w:r>
    </w:p>
    <w:p>
      <w:pPr>
        <w:pStyle w:val="IndustryBanner"/>
        <w:jc w:val="both"/>
        <w:rPr/>
      </w:pPr>
      <w:r>
        <w:rPr/>
        <w:t>Kudlow's Commentary</w:t>
      </w:r>
    </w:p>
    <w:p>
      <w:pPr>
        <w:pStyle w:val="TitleBanner"/>
        <w:jc w:val="both"/>
        <w:rPr/>
      </w:pPr>
      <w:r>
        <w:rPr/>
      </w:r>
      <w:bookmarkStart w:id="0" w:name="AddTicker"/>
      <w:bookmarkStart w:id="1" w:name="AddTicker"/>
      <w:bookmarkEnd w:id="1"/>
    </w:p>
    <w:p>
      <w:pPr>
        <w:pStyle w:val="TitleBanner"/>
        <w:rPr>
          <w:b/>
          <w:color w:val="993366"/>
          <w:sz w:val="44"/>
        </w:rPr>
      </w:pPr>
      <w:bookmarkStart w:id="2" w:name="AddTitle"/>
      <w:bookmarkEnd w:id="2"/>
      <w:r>
        <w:rPr>
          <w:b/>
          <w:color w:val="993366"/>
          <w:sz w:val="44"/>
        </w:rPr>
        <w:t>Tech Revival?</w:t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By Lawrence Kudlow &amp; John Park</w:t>
      </w:r>
    </w:p>
    <w:p>
      <w:pPr>
        <w:pStyle w:val="Normal"/>
        <w:pBdr>
          <w:bottom w:val="double" w:sz="6" w:space="1" w:color="000000"/>
        </w:pBdr>
        <w:tabs>
          <w:tab w:val="clear" w:pos="720"/>
          <w:tab w:val="right" w:pos="5587" w:leader="none"/>
          <w:tab w:val="right" w:pos="9360" w:leader="none"/>
        </w:tabs>
        <w:jc w:val="both"/>
        <w:rPr>
          <w:rStyle w:val="Date1"/>
          <w:sz w:val="28"/>
        </w:rPr>
      </w:pPr>
      <w:r>
        <w:rPr>
          <w:sz w:val="28"/>
        </w:rPr>
      </w:r>
    </w:p>
    <w:p>
      <w:pPr>
        <w:pStyle w:val="Normal"/>
        <w:pBdr>
          <w:bottom w:val="double" w:sz="6" w:space="1" w:color="000000"/>
        </w:pBdr>
        <w:tabs>
          <w:tab w:val="clear" w:pos="720"/>
          <w:tab w:val="right" w:pos="5328" w:leader="none"/>
          <w:tab w:val="right" w:pos="9504" w:leader="none"/>
        </w:tabs>
        <w:jc w:val="both"/>
        <w:rPr/>
      </w:pPr>
      <w:r>
        <w:rPr>
          <w:rStyle w:val="Date1"/>
          <w:b/>
          <w:bCs/>
        </w:rPr>
        <w:t>October 15, 2001</w:t>
      </w:r>
      <w:r>
        <w:fldChar w:fldCharType="begin">
          <w:ffData>
            <w:name w:val="GetDate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" w:name="AddDate"/>
      <w:bookmarkStart w:id="4" w:name="GetDate_Copy_1"/>
      <w:bookmarkEnd w:id="4"/>
      <w:r>
        <w:rPr/>
      </w:r>
      <w:r>
        <w:rPr/>
        <w:fldChar w:fldCharType="separate"/>
      </w:r>
      <w:r>
        <w:rPr/>
        <w:t xml:space="preserve">     </w:t>
      </w:r>
      <w:r>
        <w:rPr/>
      </w:r>
      <w:r>
        <w:rPr/>
        <w:fldChar w:fldCharType="end"/>
      </w:r>
      <w:bookmarkEnd w:id="3"/>
      <w:r>
        <w:rPr/>
        <w:t xml:space="preserve">  </w:t>
        <w:tab/>
      </w:r>
      <w:r>
        <w:fldChar w:fldCharType="begin">
          <w:ffData>
            <w:name w:val="AddAnalyst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 xml:space="preserve">     </w:t>
      </w:r>
      <w:r>
        <w:rPr/>
      </w:r>
      <w:r>
        <w:rPr/>
        <w:fldChar w:fldCharType="end"/>
      </w:r>
      <w:r>
        <w:rPr/>
        <w:tab/>
      </w:r>
      <w:r>
        <w:rPr>
          <w:rStyle w:val="Analyst"/>
          <w:b/>
          <w:bCs/>
        </w:rPr>
        <w:t>Kudlow &amp; Co., LLC (212) 644-8610</w:t>
      </w:r>
      <w:r>
        <w:rPr>
          <w:i/>
        </w:rPr>
        <w:t xml:space="preserve"> </w:t>
      </w:r>
      <w:bookmarkStart w:id="5" w:name="AddBullet"/>
      <w:bookmarkStart w:id="6" w:name="AddModel"/>
      <w:bookmarkEnd w:id="5"/>
      <w:bookmarkEnd w:id="6"/>
    </w:p>
    <w:p>
      <w:pPr>
        <w:pStyle w:val="BodyText"/>
        <w:spacing w:lineRule="auto" w:line="240"/>
        <w:jc w:val="both"/>
        <w:rPr>
          <w:u w:val="single"/>
        </w:rPr>
      </w:pPr>
      <w:r>
        <w:rPr>
          <w:u w:val="single"/>
        </w:rPr>
      </w:r>
    </w:p>
    <w:p>
      <w:pPr>
        <w:pStyle w:val="BodyText"/>
        <w:spacing w:lineRule="auto" w:line="240"/>
        <w:ind w:firstLine="720" w:end="0"/>
        <w:jc w:val="both"/>
        <w:rPr/>
      </w:pPr>
      <w:r>
        <w:rPr/>
        <w:t xml:space="preserve">In a surprising twist to the stock market recovery since the 9/11 terrorist bombing, the beaten down technology sector has actually led the way.  Overall technology-related shares have appreciated over 3% compared to a slightly less than 2% gain for the S&amp;P 500.  The tech rally even includes communications equipment makers who were absolutely crushed during the eighteen-month bear market rally.  </w:t>
      </w:r>
    </w:p>
    <w:p>
      <w:pPr>
        <w:pStyle w:val="BodyText"/>
        <w:spacing w:lineRule="auto" w:line="240"/>
        <w:jc w:val="both"/>
        <w:rPr/>
      </w:pPr>
      <w:r>
        <w:rPr/>
      </w:r>
    </w:p>
    <w:p>
      <w:pPr>
        <w:pStyle w:val="BodyText"/>
        <w:spacing w:lineRule="auto" w:line="240"/>
        <w:ind w:firstLine="720" w:end="0"/>
        <w:jc w:val="both"/>
        <w:rPr/>
      </w:pPr>
      <w:r>
        <w:rPr/>
        <w:t xml:space="preserve">Some market gurus are scratching their heads since tech companies are reporting huge earnings drops and the tech sector is just about the worst performing area in the recessionary economy.  </w:t>
      </w:r>
    </w:p>
    <w:p>
      <w:pPr>
        <w:pStyle w:val="BodyText"/>
        <w:spacing w:lineRule="auto" w:line="240"/>
        <w:jc w:val="both"/>
        <w:rPr/>
      </w:pPr>
      <w:r>
        <w:rPr/>
      </w:r>
    </w:p>
    <w:p>
      <w:pPr>
        <w:pStyle w:val="BodyText"/>
        <w:spacing w:lineRule="auto" w:line="240"/>
        <w:ind w:firstLine="720" w:end="0"/>
        <w:jc w:val="both"/>
        <w:rPr/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-62865</wp:posOffset>
            </wp:positionH>
            <wp:positionV relativeFrom="paragraph">
              <wp:posOffset>499110</wp:posOffset>
            </wp:positionV>
            <wp:extent cx="4069080" cy="288226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88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But markets look forward, not backward.  And one development which augers well for future tech performance is a supply-side tax-cut that will cash expense 30% of business depreciation allowances for the purchase of new plants and equipment, especially technology equipment.  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jc w:val="both"/>
        <w:rPr/>
      </w:pPr>
      <w:r>
        <w:rPr/>
        <w:t>While Democrats in both the House and the Senate are still waging class warfare on upper-end income taxpayers and capital gains-sensitive investors, there is a miraculously bi-partisan consensus developing on the need to help the hard-hit business sector, which has led the economy downward over the past year.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ind w:firstLine="720" w:end="0"/>
        <w:jc w:val="both"/>
        <w:rPr/>
      </w:pPr>
      <w:r>
        <w:rPr/>
        <w:t xml:space="preserve">The timing of this tax change couldn’t be better.  Massive technology spending in the 1999 run-up to Y2K was borrowed from 2000 and 2001.  By next year, however, obsolete tech equipment will need to be replaced, and accelerated write-off will make it cheaper for businesses to purchase new equipment.  This, in turn, will allow business equipment manufacturers to reduce their selling prices.  It’s win, win.  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ind w:firstLine="720" w:end="0"/>
        <w:jc w:val="both"/>
        <w:rPr/>
      </w:pPr>
      <w:r>
        <w:rPr/>
        <w:t xml:space="preserve">Investment in the hi-tech sector was the major impetus for economic growth during the 1990s.  Real investment in information processing equipment and software contributed about 20% of GDP growth; including capital spending on industrial and transportation equipment, then real business investment contributed nearly one-third to economic growth.  By early 1999, tech sector capital spending surpassed industrial investment.  Productivity growth surged as a result of the “capital deepening” investment from less than 1% to almost 4%.  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lineRule="auto" w:line="240"/>
        <w:ind w:firstLine="720" w:end="0"/>
        <w:jc w:val="both"/>
        <w:rPr/>
      </w:pPr>
      <w:r>
        <w:rPr/>
        <w:t>However, technology has been the hardest hit sector in this economic slump.  Technology investment declined at a 19.5% annual rate in Q2 after a 12.4% decline in Q1.  The monthly manufacturing data suggest that the Q3 drop will be just as grim.  This decline in hi-tech spending will exacerbate the slowdown in productivity growth.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jc w:val="both"/>
        <w:rPr>
          <w:sz w:val="28"/>
        </w:rPr>
      </w:pPr>
      <w:r>
        <w:object w:dxaOrig="6401" w:dyaOrig="4609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4.95pt;margin-top:20.6pt;width:324.7pt;height:230.15pt;mso-wrap-distance-left:9.05pt;mso-wrap-distance-right:9.05pt;mso-position-horizontal-relative:text;mso-position-vertical-relative:text" filled="f" o:ole="">
            <v:imagedata r:id="rId4" o:title=""/>
            <w10:wrap type="square"/>
          </v:shape>
          <o:OLEObject Type="Embed" ProgID="Excel.Sheet.12" ShapeID="ole_rId3" DrawAspect="Content" ObjectID="_603254282" r:id="rId3"/>
        </w:object>
      </w:r>
      <w:r>
        <w:rPr>
          <w:sz w:val="28"/>
        </w:rPr>
        <w:t xml:space="preserve">Reviving investment in this sector is critical to resuming the productivity-led growth, but this will not be a quick process.  The most recent monthly manufacturing data on computers, semiconductors, and communications equipment, the hi-tech sector proxy, showed that the inventory-sales ratio hit a 5-year high in August.  The I/S ratio in tech has now increased five straight months, and nine of the past eleven months.  So no tech recovery is yet in sight. While inventory has dropped (23% annualized 3-month decline), shipments have dropped much faster (50% 3-month drop). 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When the tech inventory overhang is finally cleared out next year, the cash expensing tax incentive will provide significant impetus to a new round of hi-tech activity.  Accelerated depreciation schedules reduce the effective tax-rate on technology production, just what the doctor ordered.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jc w:val="both"/>
        <w:rPr>
          <w:sz w:val="28"/>
        </w:rPr>
      </w:pPr>
      <w:r>
        <w:rPr>
          <w:sz w:val="28"/>
        </w:rPr>
        <w:t xml:space="preserve">Congressional tax writers have a lot more work to do in order to nurture a strong economic recovery.  War-related risk and uncertainty premiums are extraordinarily high, posing a tall barrier to growth.  Investors and businesses must therefore have greater after-tax rewards in order to hurdle over this obstacle.  That is why significant capital gains tax relief and accelerated income tax relief, including the top marginal tax-rate, are both necessary to revive animal spirits. 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jc w:val="both"/>
        <w:rPr>
          <w:sz w:val="28"/>
        </w:rPr>
      </w:pPr>
      <w:r>
        <w:rPr>
          <w:sz w:val="28"/>
        </w:rPr>
        <w:t xml:space="preserve">But certainly the shortening of depreciation schedules for business capital spending is a positive development coming out of the House Ways and Means committee mark-up.  In this cautious environment it must pay more, after tax, to invest and produce.  Rather than ineffectual consumer tax rebates, lowering the tax cost of production and raising the after-tax return to investment will produce a real increase in consumer purchasing power. 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jc w:val="both"/>
        <w:rPr>
          <w:sz w:val="28"/>
        </w:rPr>
      </w:pPr>
      <w:r>
        <w:rPr>
          <w:sz w:val="28"/>
        </w:rPr>
        <w:t xml:space="preserve">That is of course what the forward-looking stock market rally in techs and other sectors is telling us.  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/>
        <w:tab/>
      </w:r>
    </w:p>
    <w:tbl>
      <w:tblPr>
        <w:tblW w:w="97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60"/>
        <w:gridCol w:w="4860"/>
      </w:tblGrid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end="-720"/>
              <w:jc w:val="both"/>
              <w:rPr/>
            </w:pPr>
            <w:r>
              <w:rPr/>
              <w:t>Kudlow &amp; Co.  LLC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9"/>
              <w:ind w:hanging="0" w:start="0"/>
              <w:jc w:val="both"/>
              <w:rPr/>
            </w:pPr>
            <w:r>
              <w:rPr/>
              <w:t>Lawrence Kudlow, CEO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One Dag Hammarskjold Plaza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Susan Varga, COO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885 Second Avenue, 26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Park, Economic Associate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York, New York 10017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Sullivan, VP Sales/Business Development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212-644-8610 (p)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212-588-1636 (f)</w:t>
            </w:r>
          </w:p>
        </w:tc>
        <w:tc>
          <w:tcPr>
            <w:tcW w:w="4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www.kudlow.com</w:t>
            </w:r>
          </w:p>
        </w:tc>
      </w:tr>
    </w:tbl>
    <w:p>
      <w:pPr>
        <w:pStyle w:val="BodyText"/>
        <w:spacing w:lineRule="auto" w:line="240"/>
        <w:jc w:val="both"/>
        <w:rPr/>
      </w:pPr>
      <w:r>
        <w:rPr/>
      </w:r>
    </w:p>
    <w:sectPr>
      <w:footerReference w:type="default" r:id="rId5"/>
      <w:type w:val="nextPage"/>
      <w:pgSz w:w="12240" w:h="15840"/>
      <w:pgMar w:left="1440" w:right="1296" w:gutter="0" w:header="0" w:top="1152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Palatino-Roman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192"/>
      <w:jc w:val="both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5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FCAnalystN" w:val=""/>
    <w:docVar w:name="FCAnalystPhone" w:val="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decimal" w:pos="5040" w:leader="none"/>
        <w:tab w:val="decimal" w:pos="8100" w:leader="none"/>
      </w:tabs>
      <w:ind w:firstLine="720" w:start="0" w:end="-72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Analyst">
    <w:name w:val="Analyst"/>
    <w:basedOn w:val="DefaultParagraphFont"/>
    <w:qFormat/>
    <w:rPr>
      <w:rFonts w:ascii="Times New Roman" w:hAnsi="Times New Roman" w:cs="Times New Roman"/>
      <w:sz w:val="22"/>
    </w:rPr>
  </w:style>
  <w:style w:type="character" w:styleId="Date1">
    <w:name w:val="Date1"/>
    <w:basedOn w:val="DefaultParagraphFont"/>
    <w:qFormat/>
    <w:rPr>
      <w:rFonts w:ascii="Times New Roman" w:hAnsi="Times New Roman" w:cs="Times New Roman"/>
      <w:sz w:val="22"/>
    </w:rPr>
  </w:style>
  <w:style w:type="character" w:styleId="Assistant">
    <w:name w:val="Assistant"/>
    <w:basedOn w:val="DefaultParagraphFont"/>
    <w:qFormat/>
    <w:rPr>
      <w:rFonts w:ascii="Times New Roman" w:hAnsi="Times New Roman" w:cs="Times New Roman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480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rmatBulletPoint">
    <w:name w:val="FormatBulletPoint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</w:pPr>
    <w:rPr/>
  </w:style>
  <w:style w:type="paragraph" w:styleId="IndustryBanner">
    <w:name w:val="IndustryBanner"/>
    <w:basedOn w:val="Normal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fill="000080" w:val="clear"/>
      <w:tabs>
        <w:tab w:val="clear" w:pos="720"/>
        <w:tab w:val="left" w:pos="5760" w:leader="none"/>
      </w:tabs>
    </w:pPr>
    <w:rPr>
      <w:i/>
      <w:color w:val="FFFFFF"/>
      <w:sz w:val="32"/>
    </w:rPr>
  </w:style>
  <w:style w:type="paragraph" w:styleId="CompanyBanner">
    <w:name w:val="CompanyBanner"/>
    <w:basedOn w:val="Normal"/>
    <w:qFormat/>
    <w:pPr>
      <w:spacing w:before="400" w:after="0"/>
      <w:jc w:val="center"/>
    </w:pPr>
    <w:rPr>
      <w:b/>
      <w:sz w:val="32"/>
    </w:rPr>
  </w:style>
  <w:style w:type="paragraph" w:styleId="TitleBanner">
    <w:name w:val="TitleBanner"/>
    <w:basedOn w:val="Normal"/>
    <w:next w:val="Normal"/>
    <w:qFormat/>
    <w:pPr>
      <w:pBdr>
        <w:bottom w:val="double" w:sz="6" w:space="1" w:color="000000"/>
      </w:pBdr>
      <w:tabs>
        <w:tab w:val="clear" w:pos="720"/>
        <w:tab w:val="right" w:pos="5580" w:leader="none"/>
        <w:tab w:val="right" w:pos="9450" w:leader="none"/>
      </w:tabs>
      <w:jc w:val="center"/>
    </w:pPr>
    <w:rPr>
      <w:i/>
      <w:sz w:val="28"/>
    </w:rPr>
  </w:style>
  <w:style w:type="paragraph" w:styleId="KeyPoint">
    <w:name w:val="KeyPoint"/>
    <w:basedOn w:val="Normal"/>
    <w:qFormat/>
    <w:pPr/>
    <w:rPr>
      <w:b/>
      <w:sz w:val="26"/>
    </w:rPr>
  </w:style>
  <w:style w:type="paragraph" w:styleId="BulletBanner">
    <w:name w:val="BulletBanner"/>
    <w:basedOn w:val="Normal"/>
    <w:qFormat/>
    <w:pPr>
      <w:numPr>
        <w:ilvl w:val="0"/>
        <w:numId w:val="3"/>
      </w:numPr>
      <w:tabs>
        <w:tab w:val="clear" w:pos="720"/>
        <w:tab w:val="left" w:pos="360" w:leader="none"/>
      </w:tabs>
      <w:spacing w:before="240" w:after="0"/>
      <w:ind w:hanging="360" w:start="360" w:end="0"/>
      <w:jc w:val="both"/>
    </w:pPr>
    <w:rPr>
      <w:sz w:val="22"/>
    </w:rPr>
  </w:style>
  <w:style w:type="paragraph" w:styleId="BodyText1">
    <w:name w:val="BodyText"/>
    <w:basedOn w:val="Normal"/>
    <w:qFormat/>
    <w:pPr>
      <w:jc w:val="both"/>
    </w:pPr>
    <w:rPr>
      <w:sz w:val="22"/>
    </w:rPr>
  </w:style>
  <w:style w:type="paragraph" w:styleId="BodyText2">
    <w:name w:val="Body Text 2"/>
    <w:basedOn w:val="Normal"/>
    <w:qFormat/>
    <w:pPr>
      <w:ind w:firstLine="720" w:start="0" w:end="0"/>
    </w:pPr>
    <w:rPr>
      <w:rFonts w:ascii="Palatino-Roman" w:hAnsi="Palatino-Roman" w:cs="Palatino-Roman"/>
      <w:sz w:val="24"/>
    </w:rPr>
  </w:style>
  <w:style w:type="paragraph" w:styleId="WW-BodyText2">
    <w:name w:val="WW-Body Text 2"/>
    <w:basedOn w:val="Normal"/>
    <w:qFormat/>
    <w:pPr>
      <w:ind w:firstLine="720" w:start="0" w:end="0"/>
      <w:jc w:val="both"/>
    </w:pPr>
    <w:rPr>
      <w:sz w:val="28"/>
    </w:rPr>
  </w:style>
  <w:style w:type="paragraph" w:styleId="WW-BodyText21">
    <w:name w:val="WW-Body Text 21"/>
    <w:basedOn w:val="Normal"/>
    <w:qFormat/>
    <w:pPr>
      <w:ind w:firstLine="720" w:start="0" w:end="0"/>
      <w:jc w:val="both"/>
    </w:pPr>
    <w:rPr>
      <w:sz w:val="24"/>
    </w:rPr>
  </w:style>
  <w:style w:type="paragraph" w:styleId="BodyText3">
    <w:name w:val="Body Text 3"/>
    <w:basedOn w:val="Normal"/>
    <w:qFormat/>
    <w:pPr>
      <w:jc w:val="both"/>
    </w:pPr>
    <w:rPr>
      <w:sz w:val="24"/>
    </w:rPr>
  </w:style>
  <w:style w:type="paragraph" w:styleId="BodyTextIndent">
    <w:name w:val="Body Text Indent"/>
    <w:basedOn w:val="Normal"/>
    <w:pPr>
      <w:ind w:firstLine="720" w:start="0" w:end="0"/>
      <w:jc w:val="both"/>
    </w:pPr>
    <w:rPr>
      <w:sz w:val="28"/>
    </w:rPr>
  </w:style>
  <w:style w:type="paragraph" w:styleId="BodyTextIndent2">
    <w:name w:val="Body Text Indent 2"/>
    <w:basedOn w:val="Normal"/>
    <w:qFormat/>
    <w:pPr>
      <w:overflowPunct w:val="true"/>
      <w:ind w:firstLine="720" w:start="0" w:end="0"/>
      <w:textAlignment w:val="auto"/>
    </w:pPr>
    <w:rPr>
      <w:sz w:val="28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IndustryMN_New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2001-10-15T19:28:00Z</dcterms:created>
  <dc:creator>Susan Varga</dc:creator>
  <dc:description/>
  <dc:language>en-CA</dc:language>
  <cp:lastModifiedBy>svarga</cp:lastModifiedBy>
  <cp:lastPrinted>2001-10-02T11:35:00Z</cp:lastPrinted>
  <dcterms:modified xsi:type="dcterms:W3CDTF">2001-10-15T19:36:00Z</dcterms:modified>
  <cp:revision>3</cp:revision>
  <dc:subject/>
  <dc:title>Industry Name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readySaved">
    <vt:lpwstr>1</vt:lpwstr>
  </property>
  <property fmtid="{D5CDD505-2E9C-101B-9397-08002B2CF9AE}" pid="3" name="CounterPath">
    <vt:lpwstr>\\RESEARCH1\SYS\MMNotes\</vt:lpwstr>
  </property>
  <property fmtid="{D5CDD505-2E9C-101B-9397-08002B2CF9AE}" pid="4" name="CurrentPrice">
    <vt:lpwstr>$</vt:lpwstr>
  </property>
  <property fmtid="{D5CDD505-2E9C-101B-9397-08002B2CF9AE}" pid="5" name="FCAnalystForTemp">
    <vt:lpwstr>Lawrence Kudlow</vt:lpwstr>
  </property>
  <property fmtid="{D5CDD505-2E9C-101B-9397-08002B2CF9AE}" pid="6" name="FCAnalystN1">
    <vt:lpwstr>Kudlow, Lawrence</vt:lpwstr>
  </property>
  <property fmtid="{D5CDD505-2E9C-101B-9397-08002B2CF9AE}" pid="7" name="FCAnalystPhone">
    <vt:lpwstr>(212) 409-5213</vt:lpwstr>
  </property>
  <property fmtid="{D5CDD505-2E9C-101B-9397-08002B2CF9AE}" pid="8" name="FCIndustry">
    <vt:lpwstr>Kudlow's Commentary</vt:lpwstr>
  </property>
  <property fmtid="{D5CDD505-2E9C-101B-9397-08002B2CF9AE}" pid="9" name="FCIndustryID">
    <vt:lpwstr> 159</vt:lpwstr>
  </property>
  <property fmtid="{D5CDD505-2E9C-101B-9397-08002B2CF9AE}" pid="10" name="FCTitle">
    <vt:lpwstr>Below Potential</vt:lpwstr>
  </property>
  <property fmtid="{D5CDD505-2E9C-101B-9397-08002B2CF9AE}" pid="11" name="FirstCallPath">
    <vt:lpwstr>\\RESEARCH1\SYS\MMNotes\FirstCall\</vt:lpwstr>
  </property>
  <property fmtid="{D5CDD505-2E9C-101B-9397-08002B2CF9AE}" pid="12" name="FirstTPath">
    <vt:lpwstr>\\RESEARCH1\SYS\MMNOTES\MorningNotes\</vt:lpwstr>
  </property>
  <property fmtid="{D5CDD505-2E9C-101B-9397-08002B2CF9AE}" pid="13" name="FstCategoryID">
    <vt:lpwstr>2</vt:lpwstr>
  </property>
  <property fmtid="{D5CDD505-2E9C-101B-9397-08002B2CF9AE}" pid="14" name="FstCategoryN">
    <vt:lpwstr>Notes</vt:lpwstr>
  </property>
  <property fmtid="{D5CDD505-2E9C-101B-9397-08002B2CF9AE}" pid="15" name="FstFileN">
    <vt:lpwstr>\\RESEARCH1\SYS\MMNOTES\MorningNotes\Kudlow021316.doc</vt:lpwstr>
  </property>
  <property fmtid="{D5CDD505-2E9C-101B-9397-08002B2CF9AE}" pid="16" name="INGOwnFileN">
    <vt:lpwstr>Kudlow021316.doc</vt:lpwstr>
  </property>
  <property fmtid="{D5CDD505-2E9C-101B-9397-08002B2CF9AE}" pid="17" name="INGPath">
    <vt:lpwstr>\\RESEARCH1\SYS\MMNotes\PDF\OUT\</vt:lpwstr>
  </property>
  <property fmtid="{D5CDD505-2E9C-101B-9397-08002B2CF9AE}" pid="18" name="LocalTemplatePath">
    <vt:lpwstr>C:\RemoteModule\</vt:lpwstr>
  </property>
  <property fmtid="{D5CDD505-2E9C-101B-9397-08002B2CF9AE}" pid="19" name="OfficeTemplatePath">
    <vt:lpwstr>\\RESEARCH1\SYS\MMNotes\Blitz\VAD\</vt:lpwstr>
  </property>
  <property fmtid="{D5CDD505-2E9C-101B-9397-08002B2CF9AE}" pid="20" name="OwnPath">
    <vt:lpwstr>U:\Kudlow021316.doc</vt:lpwstr>
  </property>
  <property fmtid="{D5CDD505-2E9C-101B-9397-08002B2CF9AE}" pid="21" name="analcode1">
    <vt:lpwstr>575</vt:lpwstr>
  </property>
  <property fmtid="{D5CDD505-2E9C-101B-9397-08002B2CF9AE}" pid="22" name="cnMain">
    <vt:lpwstr>Driver={SQL Server};Server=NYWSQL01;Uid=Mikhail;Pwd=;Database=Production</vt:lpwstr>
  </property>
  <property fmtid="{D5CDD505-2E9C-101B-9397-08002B2CF9AE}" pid="23" name="exePath">
    <vt:lpwstr>V:\MMNOTES</vt:lpwstr>
  </property>
  <property fmtid="{D5CDD505-2E9C-101B-9397-08002B2CF9AE}" pid="24" name="subCategoryN">
    <vt:lpwstr>Update</vt:lpwstr>
  </property>
  <property fmtid="{D5CDD505-2E9C-101B-9397-08002B2CF9AE}" pid="25" name="templatePath">
    <vt:lpwstr>\\RESEARCH1\SYS\MMNotes\Blitz\VAD\</vt:lpwstr>
  </property>
</Properties>
</file>