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CLIENT MEMO: Fed and Forecast Update</w:t>
      </w:r>
    </w:p>
    <w:p>
      <w:pPr>
        <w:pStyle w:val="Heading4"/>
        <w:ind w:hanging="0" w:start="0"/>
        <w:rPr>
          <w:sz w:val="28"/>
        </w:rPr>
      </w:pPr>
      <w:r>
        <w:rPr>
          <w:sz w:val="28"/>
        </w:rPr>
        <w:t>By Lawrence Kudlow &amp; John Park</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9,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er"/>
        <w:tabs>
          <w:tab w:val="clear" w:pos="4320"/>
          <w:tab w:val="clear" w:pos="8640"/>
        </w:tabs>
        <w:jc w:val="both"/>
        <w:rPr/>
      </w:pPr>
      <w:r>
        <w:rPr/>
      </w:r>
    </w:p>
    <w:p>
      <w:pPr>
        <w:pStyle w:val="Normal"/>
        <w:jc w:val="both"/>
        <w:rPr/>
      </w:pPr>
      <w:r>
        <w:rPr/>
        <w:tab/>
      </w:r>
    </w:p>
    <w:p>
      <w:pPr>
        <w:pStyle w:val="BodyText"/>
        <w:spacing w:lineRule="auto" w:line="240"/>
        <w:jc w:val="both"/>
        <w:rPr/>
      </w:pPr>
      <w:r>
        <w:rPr/>
        <w:tab/>
        <w:t xml:space="preserve">The Fed surprised us pleasantly today by pumping in $8.5 billion worth of overnight cash.  Perhaps to calm financial market anxieties over the bombing </w:t>
      </w:r>
      <w:r>
        <w:drawing>
          <wp:anchor behindDoc="0" distT="0" distB="0" distL="0" distR="114935" simplePos="0" locked="0" layoutInCell="0" allowOverlap="1" relativeHeight="7">
            <wp:simplePos x="0" y="0"/>
            <wp:positionH relativeFrom="column">
              <wp:align>left</wp:align>
            </wp:positionH>
            <wp:positionV relativeFrom="paragraph">
              <wp:posOffset>457200</wp:posOffset>
            </wp:positionV>
            <wp:extent cx="4060190" cy="287401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060190" cy="2874010"/>
                    </a:xfrm>
                    <a:prstGeom prst="rect">
                      <a:avLst/>
                    </a:prstGeom>
                    <a:noFill/>
                  </pic:spPr>
                </pic:pic>
              </a:graphicData>
            </a:graphic>
          </wp:anchor>
        </w:drawing>
      </w:r>
      <w:r>
        <w:rPr/>
        <w:t xml:space="preserve">attacks in Afghanistan, or perhaps to cushion the sinking economy.  In any event, Fed RP actions through October 9 supplied $38 billion compared to the $29.5 billion liquidity add when we last saw them on October 4.  </w:t>
      </w:r>
    </w:p>
    <w:p>
      <w:pPr>
        <w:pStyle w:val="Normal"/>
        <w:jc w:val="both"/>
        <w:rPr>
          <w:sz w:val="28"/>
        </w:rPr>
      </w:pPr>
      <w:r>
        <w:rPr>
          <w:sz w:val="28"/>
        </w:rPr>
      </w:r>
    </w:p>
    <w:p>
      <w:pPr>
        <w:pStyle w:val="Normal"/>
        <w:jc w:val="both"/>
        <w:rPr>
          <w:sz w:val="28"/>
        </w:rPr>
      </w:pPr>
      <w:r>
        <w:rPr>
          <w:sz w:val="28"/>
        </w:rPr>
        <w:tab/>
        <w:t xml:space="preserve">For the banking week of October 3, free reserves (excess minus borrowed) tallied $2.2 billion.  While this is well below the $32 billion free reserve position registered right after 9/11, it’s $1.1 above the average over the first eight months of the year.  The central bank should keep force-feeding the financial system with plenty of extra money.  Commodity indexes are still slipping, and gold is barely holding around $290.  </w:t>
      </w:r>
    </w:p>
    <w:p>
      <w:pPr>
        <w:pStyle w:val="Normal"/>
        <w:jc w:val="both"/>
        <w:rPr>
          <w:sz w:val="28"/>
        </w:rPr>
      </w:pPr>
      <w:r>
        <w:rPr>
          <w:sz w:val="28"/>
        </w:rPr>
      </w:r>
    </w:p>
    <w:p>
      <w:pPr>
        <w:pStyle w:val="Normal"/>
        <w:jc w:val="both"/>
        <w:rPr>
          <w:sz w:val="28"/>
        </w:rPr>
      </w:pPr>
      <w:r>
        <w:rPr>
          <w:sz w:val="28"/>
        </w:rPr>
        <w:tab/>
        <w:t xml:space="preserve">The ten-year TIPS spread is forecasting less than 1½% CPI inflation.  With oil prices coming down (three cheers for Vladimir Putin), price indexes are likely to show minus signs in the months ahead.  So inflation is simply not a problem; indeed, deflationary pressures made more intense by a spreading credit crunch is the real problem.  The Fed cannot directly solve the shrinking net worth problem of American businesses, but it can certainly provide plenty of excess liquidity to cushion the economic decline.  </w:t>
      </w:r>
    </w:p>
    <w:p>
      <w:pPr>
        <w:pStyle w:val="Normal"/>
        <w:jc w:val="both"/>
        <w:rPr>
          <w:sz w:val="28"/>
        </w:rPr>
      </w:pPr>
      <w:r>
        <w:rPr>
          <w:sz w:val="28"/>
        </w:rPr>
      </w:r>
    </w:p>
    <w:p>
      <w:pPr>
        <w:pStyle w:val="Normal"/>
        <w:jc w:val="both"/>
        <w:rPr>
          <w:sz w:val="28"/>
        </w:rPr>
      </w:pPr>
      <w:r>
        <w:rPr>
          <w:sz w:val="28"/>
        </w:rPr>
        <w:tab/>
        <w:t xml:space="preserve">Futures markets are still predicting a 2% funds rate in January.  So Greenspan and Co. (drip, drip, drip) are getting close to the end.  As we described in an earlier memo, the stock market tends to turn up a few months before short-term interest rates and the economy stabilize.  Meaning, we are getting close.  Hence, the mini-stock market upturn in recent weeks looks to be real.  </w:t>
      </w:r>
    </w:p>
    <w:p>
      <w:pPr>
        <w:pStyle w:val="Normal"/>
        <w:jc w:val="both"/>
        <w:rPr>
          <w:sz w:val="28"/>
        </w:rPr>
      </w:pPr>
      <w:r>
        <w:rPr>
          <w:sz w:val="28"/>
        </w:rPr>
      </w:r>
    </w:p>
    <w:p>
      <w:pPr>
        <w:pStyle w:val="Normal"/>
        <w:jc w:val="both"/>
        <w:rPr>
          <w:sz w:val="28"/>
        </w:rPr>
      </w:pPr>
      <w:r>
        <w:rPr>
          <w:sz w:val="28"/>
        </w:rPr>
        <w:tab/>
        <w:t xml:space="preserve">Also favoring stock market appreciation, the effective tax-rate on real capital gains is coming down as a result of lower inflation.  The three-month change in the personal spending deflator has downshifted to 0.3% at an annual rate from 3.6% last winter.  Consequently, the inflation tax-adjusted capital gains tax-rate is declining to 21.7% from 40.5%, even without any help from the deadhead class warfare warriors in Washington.  </w:t>
      </w:r>
    </w:p>
    <w:p>
      <w:pPr>
        <w:pStyle w:val="Normal"/>
        <w:jc w:val="both"/>
        <w:rPr>
          <w:sz w:val="28"/>
        </w:rPr>
      </w:pPr>
      <w:r>
        <w:rPr>
          <w:sz w:val="28"/>
        </w:rPr>
      </w:r>
    </w:p>
    <w:p>
      <w:pPr>
        <w:pStyle w:val="Normal"/>
        <w:jc w:val="both"/>
        <w:rPr>
          <w:sz w:val="28"/>
        </w:rPr>
      </w:pPr>
      <w:r>
        <w:rPr>
          <w:sz w:val="28"/>
        </w:rPr>
        <w:tab/>
        <w:t>This inflation tax-cut on capital gains means that investors keep 78.3 cents on the extra dollar gained, a 31.5% incentive reward increase from the high inflation return of 40.5%.  All things the same, this implies a potential stock market increase of roughly 30%.  Happy hunting and keep the faith.</w:t>
      </w:r>
    </w:p>
    <w:p>
      <w:pPr>
        <w:pStyle w:val="Normal"/>
        <w:jc w:val="both"/>
        <w:rPr>
          <w:sz w:val="28"/>
        </w:rPr>
      </w:pPr>
      <w:r>
        <w:rPr>
          <w:sz w:val="28"/>
        </w:rPr>
      </w:r>
    </w:p>
    <w:p>
      <w:pPr>
        <w:pStyle w:val="Heading1"/>
        <w:spacing w:lineRule="auto" w:line="240"/>
        <w:ind w:hanging="0" w:start="0"/>
        <w:jc w:val="both"/>
        <w:rPr>
          <w:i/>
          <w:i/>
          <w:iCs/>
        </w:rPr>
      </w:pPr>
      <w:r>
        <w:rPr>
          <w:i/>
          <w:iCs/>
        </w:rPr>
        <w:t>Recession Probability Forecast (Oct 9, 2001)</w:t>
      </w:r>
    </w:p>
    <w:p>
      <w:pPr>
        <w:pStyle w:val="Normal"/>
        <w:jc w:val="both"/>
        <w:rPr>
          <w:i/>
          <w:i/>
          <w:iCs/>
        </w:rPr>
      </w:pPr>
      <w:r>
        <w:rPr>
          <w:i/>
          <w:iCs/>
        </w:rPr>
      </w:r>
    </w:p>
    <w:p>
      <w:pPr>
        <w:pStyle w:val="Normal"/>
        <w:jc w:val="both"/>
        <w:rPr/>
      </w:pPr>
      <w:r>
        <w:rPr/>
      </w:r>
    </w:p>
    <w:p>
      <w:pPr>
        <w:pStyle w:val="BodyText"/>
        <w:spacing w:lineRule="auto" w:line="240"/>
        <w:ind w:firstLine="720" w:end="0"/>
        <w:jc w:val="both"/>
        <w:rPr/>
      </w:pPr>
      <w:r>
        <w:rPr/>
        <w:t xml:space="preserve">Even before the events of September 11 (hereafter referred to as 911), the </w:t>
      </w:r>
      <w:r>
        <w:drawing>
          <wp:anchor behindDoc="0" distT="0" distB="0" distL="0" distR="114935" simplePos="0" locked="0" layoutInCell="0" allowOverlap="1" relativeHeight="8">
            <wp:simplePos x="0" y="0"/>
            <wp:positionH relativeFrom="column">
              <wp:align>left</wp:align>
            </wp:positionH>
            <wp:positionV relativeFrom="paragraph">
              <wp:posOffset>274320</wp:posOffset>
            </wp:positionV>
            <wp:extent cx="2296795" cy="2475230"/>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6" t="-15" r="-16" b="-15"/>
                    <a:stretch>
                      <a:fillRect/>
                    </a:stretch>
                  </pic:blipFill>
                  <pic:spPr bwMode="auto">
                    <a:xfrm>
                      <a:off x="0" y="0"/>
                      <a:ext cx="2296795" cy="2475230"/>
                    </a:xfrm>
                    <a:prstGeom prst="rect">
                      <a:avLst/>
                    </a:prstGeom>
                    <a:noFill/>
                  </pic:spPr>
                </pic:pic>
              </a:graphicData>
            </a:graphic>
          </wp:anchor>
        </w:drawing>
      </w:r>
      <w:r>
        <w:rPr/>
        <w:t>economy slowed sharply in 2001 Q3.  This was clearly illustrated in the September employment report.  Because of the timing and the method of data collection, the report reflected little, if any, effect of the 911 attack.  Nonetheless, payrolls dropped by 199 thousand (almost entirely from private payrolls).  Importantly, the index of aggregate hours worked, a real GDP proxy, showed a 3.1% annualized drop in Q3 vs. a 1.5% drop in Q2.  With real GDP having grown a meager 0.3% in Q2, it is a foregone conclusion that Q3 will show a contraction.</w:t>
      </w:r>
    </w:p>
    <w:p>
      <w:pPr>
        <w:pStyle w:val="BodyText"/>
        <w:spacing w:lineRule="auto" w:line="240"/>
        <w:jc w:val="both"/>
        <w:rPr/>
      </w:pPr>
      <w:r>
        <w:rPr/>
      </w:r>
    </w:p>
    <w:p>
      <w:pPr>
        <w:pStyle w:val="BodyText"/>
        <w:spacing w:lineRule="auto" w:line="240"/>
        <w:ind w:firstLine="720" w:end="0"/>
        <w:jc w:val="both"/>
        <w:rPr/>
      </w:pPr>
      <w:r>
        <w:rPr/>
        <w:t>Since the 911 attack occurred almost at the end of Q3, the repercussions will show more clearly in Q4 data.  The effect will be to make an already expected decline even deeper.  The two consecutive quarters of contraction fill the definition of a recession.  How long will this recession last?  Fortunately, our models suggest it will be a short one.</w:t>
      </w:r>
    </w:p>
    <w:p>
      <w:pPr>
        <w:pStyle w:val="BodyText"/>
        <w:spacing w:lineRule="auto" w:line="240"/>
        <w:jc w:val="both"/>
        <w:rPr/>
      </w:pPr>
      <w:r>
        <w:rPr/>
      </w:r>
    </w:p>
    <w:p>
      <w:pPr>
        <w:pStyle w:val="BodyText"/>
        <w:spacing w:lineRule="auto" w:line="240"/>
        <w:ind w:firstLine="720" w:end="0"/>
        <w:jc w:val="both"/>
        <w:rPr/>
      </w:pPr>
      <w:r>
        <w:rPr/>
        <w:t>One model is the New York FRB model, which uses the 3-month T-bill to 10-year T-note yield spread to ascertain the probability of a recession 4-quarters in the future.  Another model uses the second difference of the 3-month T-bill yield as a contemporaneous indicator of real GDP growth.  A second difference is the 4-quarter difference of a 4-quarter difference.  Fed funds futures contracts are used as a guide to future T-bill rates.</w:t>
      </w:r>
    </w:p>
    <w:p>
      <w:pPr>
        <w:pStyle w:val="BodyText"/>
        <w:spacing w:lineRule="auto" w:line="240"/>
        <w:jc w:val="both"/>
        <w:rPr/>
      </w:pPr>
      <w:r>
        <w:rPr/>
      </w:r>
    </w:p>
    <w:p>
      <w:pPr>
        <w:pStyle w:val="BodyText"/>
        <w:spacing w:lineRule="auto" w:line="240"/>
        <w:ind w:firstLine="720" w:end="0"/>
        <w:jc w:val="both"/>
        <w:rPr/>
      </w:pPr>
      <w:r>
        <w:rPr/>
        <w:t xml:space="preserve">In these models, values above 0.3 are significant.  During the estimation period, starting in 1955, the models have generated false recession signals (once for the New York FRB model and twice for the second difference model).  However, the models also picked up every recession. </w:t>
      </w:r>
    </w:p>
    <w:p>
      <w:pPr>
        <w:pStyle w:val="BodyText"/>
        <w:spacing w:lineRule="auto" w:line="240"/>
        <w:jc w:val="both"/>
        <w:rPr/>
      </w:pPr>
      <w:r>
        <w:rPr/>
      </w:r>
    </w:p>
    <w:p>
      <w:pPr>
        <w:pStyle w:val="BodyText"/>
        <w:spacing w:lineRule="auto" w:line="240"/>
        <w:ind w:firstLine="720" w:end="0"/>
        <w:jc w:val="both"/>
        <w:rPr/>
      </w:pPr>
      <w:r>
        <w:rPr/>
        <w:t>The models point to a recession for 2001 Q3 and Q4.  The recession may last into 2002 Q1, but the probabilities recede dramatically thereafter.</w:t>
      </w:r>
    </w:p>
    <w:p>
      <w:pPr>
        <w:pStyle w:val="BodyText"/>
        <w:spacing w:lineRule="auto" w:line="240"/>
        <w:jc w:val="both"/>
        <w:rPr/>
      </w:pPr>
      <w:r>
        <w:rPr/>
      </w:r>
    </w:p>
    <w:p>
      <w:pPr>
        <w:pStyle w:val="BodyText"/>
        <w:spacing w:lineRule="auto" w:line="240"/>
        <w:ind w:firstLine="720" w:end="0"/>
        <w:jc w:val="both"/>
        <w:rPr/>
      </w:pPr>
      <w:r>
        <w:rPr/>
        <w:t xml:space="preserve">The results correspond to our outlook for next year.  Real GDP growth in 2002 Q1 is expected to be a relatively weak 1% but then averages a robust 3.7% for the next three quarters.  Corporate profits on a national accounts basis are projected to swing up from a 15% decline rate in Q4 2001 to a 9% increase rate by Q4 2002.  Off the low base of 2001, next year’s S&amp;P 500 profits are expected to rise 34% four quarters from now.  </w:t>
      </w:r>
    </w:p>
    <w:p>
      <w:pPr>
        <w:pStyle w:val="BodyText"/>
        <w:spacing w:lineRule="auto" w:line="240"/>
        <w:jc w:val="both"/>
        <w:rPr/>
      </w:pPr>
      <w:r>
        <w:rPr/>
        <w:t xml:space="preserve"> </w:t>
      </w:r>
    </w:p>
    <w:p>
      <w:pPr>
        <w:pStyle w:val="Normal"/>
        <w:jc w:val="both"/>
        <w:rPr>
          <w:sz w:val="28"/>
        </w:rPr>
      </w:pPr>
      <w:r>
        <w:rPr>
          <w:sz w:val="28"/>
        </w:rPr>
      </w:r>
    </w:p>
    <w:p>
      <w:pPr>
        <w:pStyle w:val="Normal"/>
        <w:jc w:val="both"/>
        <w:rPr>
          <w:sz w:val="28"/>
        </w:rPr>
      </w:pPr>
      <w:r>
        <w:rPr>
          <w:sz w:val="28"/>
        </w:rPr>
        <w:t>(see charts below)</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drawing>
          <wp:anchor behindDoc="0" distT="0" distB="0" distL="114935" distR="114935" simplePos="0" locked="0" layoutInCell="0" allowOverlap="1" relativeHeight="9">
            <wp:simplePos x="0" y="0"/>
            <wp:positionH relativeFrom="column">
              <wp:posOffset>0</wp:posOffset>
            </wp:positionH>
            <wp:positionV relativeFrom="paragraph">
              <wp:posOffset>635</wp:posOffset>
            </wp:positionV>
            <wp:extent cx="6043930" cy="479679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5" t="-6" r="-5" b="-6"/>
                    <a:stretch>
                      <a:fillRect/>
                    </a:stretch>
                  </pic:blipFill>
                  <pic:spPr bwMode="auto">
                    <a:xfrm>
                      <a:off x="0" y="0"/>
                      <a:ext cx="6043930" cy="4796790"/>
                    </a:xfrm>
                    <a:prstGeom prst="rect">
                      <a:avLst/>
                    </a:prstGeom>
                    <a:noFill/>
                  </pic:spPr>
                </pic:pic>
              </a:graphicData>
            </a:graphic>
          </wp:anchor>
        </w:drawing>
      </w:r>
    </w:p>
    <w:p>
      <w:pPr>
        <w:pStyle w:val="Normal"/>
        <w:jc w:val="both"/>
        <w:rPr>
          <w:sz w:val="28"/>
        </w:rPr>
      </w:pPr>
      <w:r>
        <w:rPr>
          <w:sz w:val="28"/>
        </w:rPr>
      </w:r>
    </w:p>
    <w:p>
      <w:pPr>
        <w:pStyle w:val="Header"/>
        <w:tabs>
          <w:tab w:val="clear" w:pos="4320"/>
          <w:tab w:val="clear" w:pos="8640"/>
        </w:tabs>
        <w:jc w:val="both"/>
        <w:rPr>
          <w:sz w:val="24"/>
        </w:rPr>
      </w:pPr>
      <w:r>
        <w:rPr>
          <w:sz w:val="24"/>
        </w:rPr>
      </w:r>
    </w:p>
    <w:p>
      <w:pPr>
        <w:pStyle w:val="Header"/>
        <w:tabs>
          <w:tab w:val="clear" w:pos="4320"/>
          <w:tab w:val="clear" w:pos="8640"/>
        </w:tabs>
        <w:jc w:val="both"/>
        <w:rPr>
          <w:sz w:val="24"/>
        </w:rPr>
      </w:pPr>
      <w:r>
        <w:rPr>
          <w:sz w:val="24"/>
        </w:rPr>
      </w:r>
    </w:p>
    <w:p>
      <w:pPr>
        <w:pStyle w:val="Header"/>
        <w:tabs>
          <w:tab w:val="clear" w:pos="4320"/>
          <w:tab w:val="clear" w:pos="8640"/>
        </w:tabs>
        <w:jc w:val="both"/>
        <w:rPr>
          <w:sz w:val="24"/>
        </w:rPr>
      </w:pPr>
      <w:r>
        <w:rPr>
          <w:sz w:val="24"/>
        </w:rPr>
      </w:r>
    </w:p>
    <w:p>
      <w:pPr>
        <w:pStyle w:val="Header"/>
        <w:tabs>
          <w:tab w:val="clear" w:pos="4320"/>
          <w:tab w:val="clear" w:pos="8640"/>
        </w:tabs>
        <w:jc w:val="both"/>
        <w:rPr>
          <w:sz w:val="24"/>
        </w:rPr>
      </w:pPr>
      <w:r>
        <w:rPr>
          <w:sz w:val="24"/>
        </w:rPr>
      </w:r>
    </w:p>
    <w:p>
      <w:pPr>
        <w:pStyle w:val="Header"/>
        <w:tabs>
          <w:tab w:val="clear" w:pos="4320"/>
          <w:tab w:val="clear" w:pos="8640"/>
        </w:tabs>
        <w:jc w:val="both"/>
        <w:rPr>
          <w:sz w:val="24"/>
        </w:rPr>
      </w:pPr>
      <w:r>
        <w:rPr>
          <w:sz w:val="24"/>
        </w:rPr>
      </w:r>
    </w:p>
    <w:p>
      <w:pPr>
        <w:pStyle w:val="Header"/>
        <w:tabs>
          <w:tab w:val="clear" w:pos="4320"/>
          <w:tab w:val="clear" w:pos="8640"/>
        </w:tabs>
        <w:jc w:val="both"/>
        <w:rPr>
          <w:sz w:val="24"/>
        </w:rPr>
      </w:pPr>
      <w:r>
        <w:rPr>
          <w:sz w:val="24"/>
        </w:rPr>
      </w:r>
    </w:p>
    <w:p>
      <w:pPr>
        <w:pStyle w:val="Header"/>
        <w:tabs>
          <w:tab w:val="clear" w:pos="4320"/>
          <w:tab w:val="clear" w:pos="8640"/>
        </w:tabs>
        <w:jc w:val="both"/>
        <w:rPr>
          <w:sz w:val="24"/>
        </w:rPr>
      </w:pPr>
      <w:r>
        <w:rPr>
          <w:sz w:val="24"/>
        </w:rPr>
      </w:r>
    </w:p>
    <w:p>
      <w:pPr>
        <w:pStyle w:val="Header"/>
        <w:tabs>
          <w:tab w:val="clear" w:pos="4320"/>
          <w:tab w:val="clear" w:pos="8640"/>
        </w:tabs>
        <w:jc w:val="both"/>
        <w:rPr>
          <w:sz w:val="24"/>
        </w:rPr>
      </w:pPr>
      <w:r>
        <w:rPr>
          <w:sz w:val="24"/>
        </w:rPr>
      </w:r>
    </w:p>
    <w:p>
      <w:pPr>
        <w:pStyle w:val="Header"/>
        <w:tabs>
          <w:tab w:val="clear" w:pos="4320"/>
          <w:tab w:val="clear" w:pos="8640"/>
        </w:tabs>
        <w:jc w:val="both"/>
        <w:rPr>
          <w:sz w:val="24"/>
        </w:rPr>
      </w:pPr>
      <w:r>
        <w:rPr>
          <w:sz w:val="24"/>
        </w:rPr>
      </w:r>
    </w:p>
    <w:p>
      <w:pPr>
        <w:pStyle w:val="Header"/>
        <w:tabs>
          <w:tab w:val="clear" w:pos="4320"/>
          <w:tab w:val="clear" w:pos="8640"/>
        </w:tabs>
        <w:jc w:val="both"/>
        <w:rPr>
          <w:sz w:val="24"/>
        </w:rPr>
      </w:pPr>
      <w:r>
        <w:rPr>
          <w:sz w:val="24"/>
        </w:rPr>
      </w:r>
    </w:p>
    <w:p>
      <w:pPr>
        <w:pStyle w:val="Header"/>
        <w:tabs>
          <w:tab w:val="clear" w:pos="4320"/>
          <w:tab w:val="clear" w:pos="8640"/>
        </w:tabs>
        <w:jc w:val="both"/>
        <w:rPr>
          <w:sz w:val="24"/>
        </w:rPr>
      </w:pPr>
      <w:r>
        <w:rPr>
          <w:sz w:val="24"/>
        </w:rPr>
        <w:drawing>
          <wp:anchor behindDoc="0" distT="0" distB="0" distL="114935" distR="114935" simplePos="0" locked="0" layoutInCell="0" allowOverlap="1" relativeHeight="10">
            <wp:simplePos x="0" y="0"/>
            <wp:positionH relativeFrom="column">
              <wp:posOffset>0</wp:posOffset>
            </wp:positionH>
            <wp:positionV relativeFrom="paragraph">
              <wp:posOffset>635</wp:posOffset>
            </wp:positionV>
            <wp:extent cx="3649980" cy="647700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10" t="-6" r="-10" b="-6"/>
                    <a:stretch>
                      <a:fillRect/>
                    </a:stretch>
                  </pic:blipFill>
                  <pic:spPr bwMode="auto">
                    <a:xfrm>
                      <a:off x="0" y="0"/>
                      <a:ext cx="3649980" cy="6477000"/>
                    </a:xfrm>
                    <a:prstGeom prst="rect">
                      <a:avLst/>
                    </a:prstGeom>
                    <a:noFill/>
                  </pic:spPr>
                </pic:pic>
              </a:graphicData>
            </a:graphic>
          </wp:anchor>
        </w:drawing>
      </w:r>
    </w:p>
    <w:p>
      <w:pPr>
        <w:pStyle w:val="Header"/>
        <w:tabs>
          <w:tab w:val="clear" w:pos="4320"/>
          <w:tab w:val="clear" w:pos="8640"/>
        </w:tabs>
        <w:jc w:val="both"/>
        <w:rPr>
          <w:sz w:val="24"/>
        </w:rPr>
      </w:pPr>
      <w:r>
        <w:rPr>
          <w:sz w:val="24"/>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sz w:val="24"/>
              </w:rPr>
            </w:pPr>
            <w:r>
              <w:rPr>
                <w:sz w:val="24"/>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sz w:val="24"/>
              </w:rPr>
            </w:pPr>
            <w:r>
              <w:rPr>
                <w:sz w:val="24"/>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sz w:val="24"/>
              </w:rPr>
            </w:pPr>
            <w:r>
              <w:rPr>
                <w:sz w:val="24"/>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sz w:val="24"/>
              </w:rPr>
              <w:t>885 Second Avenue, 26</w:t>
            </w:r>
            <w:r>
              <w:rPr>
                <w:sz w:val="24"/>
                <w:vertAlign w:val="superscript"/>
              </w:rPr>
              <w:t>th</w:t>
            </w:r>
            <w:r>
              <w:rPr>
                <w:sz w:val="24"/>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sz w:val="24"/>
              </w:rPr>
            </w:pPr>
            <w:r>
              <w:rPr>
                <w:sz w:val="24"/>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sz w:val="24"/>
              </w:rPr>
            </w:pPr>
            <w:r>
              <w:rPr>
                <w:sz w:val="24"/>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sz w:val="24"/>
              </w:rPr>
            </w:pPr>
            <w:r>
              <w:rPr>
                <w:sz w:val="24"/>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sz w:val="24"/>
              </w:rPr>
            </w:pPr>
            <w:r>
              <w:rPr>
                <w:sz w:val="24"/>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4"/>
              </w:rPr>
            </w:pPr>
            <w:r>
              <w:rPr>
                <w:sz w:val="24"/>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sz w:val="24"/>
              </w:rPr>
            </w:pPr>
            <w:r>
              <w:rPr>
                <w:sz w:val="24"/>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sz w:val="24"/>
              </w:rPr>
            </w:pPr>
            <w:r>
              <w:rPr>
                <w:sz w:val="24"/>
              </w:rPr>
              <w:t>www.kudlow.com</w:t>
            </w:r>
          </w:p>
        </w:tc>
      </w:tr>
    </w:tbl>
    <w:p>
      <w:pPr>
        <w:pStyle w:val="BodyText"/>
        <w:spacing w:lineRule="auto" w:line="240"/>
        <w:jc w:val="both"/>
        <w:rPr/>
      </w:pPr>
      <w:r>
        <w:rPr/>
      </w:r>
    </w:p>
    <w:sectPr>
      <w:footerReference w:type="default" r:id="rId6"/>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5"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BlockText">
    <w:name w:val="Block Text"/>
    <w:basedOn w:val="Normal"/>
    <w:qFormat/>
    <w:pPr>
      <w:overflowPunct w:val="true"/>
      <w:autoSpaceDE w:val="true"/>
      <w:ind w:hanging="0" w:start="720" w:end="720"/>
      <w:jc w:val="both"/>
      <w:textAlignment w:val="auto"/>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2001-10-09T19:07:00Z</dcterms:created>
  <dc:creator>Susan Varga</dc:creator>
  <dc:description/>
  <dc:language>en-CA</dc:language>
  <cp:lastModifiedBy>svarga</cp:lastModifiedBy>
  <cp:lastPrinted>2001-10-09T17:37:00Z</cp:lastPrinted>
  <dcterms:modified xsi:type="dcterms:W3CDTF">2001-10-09T19:11:00Z</dcterms:modified>
  <cp:revision>3</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