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Three Cheers for Higher Yields</w:t>
      </w:r>
    </w:p>
    <w:p>
      <w:pPr>
        <w:pStyle w:val="Heading4"/>
        <w:ind w:hanging="0" w:start="0"/>
        <w:rPr>
          <w:sz w:val="28"/>
        </w:rPr>
      </w:pPr>
      <w:r>
        <w:rPr>
          <w:sz w:val="28"/>
        </w:rPr>
        <w:t>By Lawrence Kudlow</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3,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BodyText"/>
        <w:spacing w:lineRule="auto" w:line="240"/>
        <w:jc w:val="both"/>
        <w:rPr>
          <w:u w:val="single"/>
        </w:rPr>
      </w:pPr>
      <w:r>
        <w:rPr>
          <w:u w:val="single"/>
        </w:rPr>
      </w:r>
    </w:p>
    <w:p>
      <w:pPr>
        <w:pStyle w:val="BodyText"/>
        <w:spacing w:lineRule="auto" w:line="240"/>
        <w:ind w:firstLine="720" w:end="0"/>
        <w:jc w:val="both"/>
        <w:rPr/>
      </w:pPr>
      <w:r>
        <w:rPr/>
        <w:t xml:space="preserve">From Robert Rubin to Alan Greenspan to Paul O’Neill to George Bush, just about everyone in Washington is talking about an economic stimulus package that won’t drive up long-term interest rates.  But they’re mistaken.  Growth-boosting tax-cuts should lead to higher rates.  For recovery, higher rates are the real deal.  </w:t>
      </w:r>
    </w:p>
    <w:p>
      <w:pPr>
        <w:pStyle w:val="BodyText"/>
        <w:spacing w:lineRule="auto" w:line="240"/>
        <w:ind w:firstLine="720" w:end="0"/>
        <w:jc w:val="both"/>
        <w:rPr/>
      </w:pPr>
      <w:r>
        <w:rPr/>
      </w:r>
    </w:p>
    <w:p>
      <w:pPr>
        <w:pStyle w:val="BodyText"/>
        <w:spacing w:lineRule="auto" w:line="240"/>
        <w:ind w:firstLine="720" w:end="0"/>
        <w:jc w:val="both"/>
        <w:rPr/>
      </w:pPr>
      <w:r>
        <w:rPr/>
        <w:t>Today in New York President Bush presented the general outline of a $75 billion tax-cut plan that probably includes a faster phase-in for the personal tax-rate reduction plan, with a business tax-cut piece that probably includes faster depreciation on equipment purchases and relief from the alternative minimum corporate tax.  Responding to a question from the press, the president said “But we’re mindful of the effect on long-term interest rates, and we think that number is the right number.”</w:t>
      </w:r>
    </w:p>
    <w:p>
      <w:pPr>
        <w:pStyle w:val="Normal"/>
        <w:jc w:val="both"/>
        <w:rPr>
          <w:sz w:val="28"/>
        </w:rPr>
      </w:pPr>
      <w:r>
        <w:rPr>
          <w:sz w:val="28"/>
        </w:rPr>
      </w:r>
    </w:p>
    <w:p>
      <w:pPr>
        <w:pStyle w:val="Normal"/>
        <w:jc w:val="both"/>
        <w:rPr/>
      </w:pPr>
      <w:r>
        <w:rPr>
          <w:sz w:val="28"/>
        </w:rPr>
        <w:tab/>
        <w:t xml:space="preserve">But, official Washington has the interest rate story completely wrong.  </w:t>
      </w:r>
      <w:r>
        <w:drawing>
          <wp:anchor behindDoc="0" distT="0" distB="0" distL="0" distR="114935" simplePos="0" locked="0" layoutInCell="0" allowOverlap="1" relativeHeight="6">
            <wp:simplePos x="0" y="0"/>
            <wp:positionH relativeFrom="column">
              <wp:align>left</wp:align>
            </wp:positionH>
            <wp:positionV relativeFrom="paragraph">
              <wp:posOffset>635</wp:posOffset>
            </wp:positionV>
            <wp:extent cx="4077970" cy="288290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77970" cy="2882900"/>
                    </a:xfrm>
                    <a:prstGeom prst="rect">
                      <a:avLst/>
                    </a:prstGeom>
                    <a:noFill/>
                  </pic:spPr>
                </pic:pic>
              </a:graphicData>
            </a:graphic>
          </wp:anchor>
        </w:drawing>
      </w:r>
      <w:r>
        <w:rPr>
          <w:sz w:val="28"/>
        </w:rPr>
        <w:t>Actually, interest rates should rise a bit, not fall.  Here’s why.  In today’s non-inflationary environment, most interest rate swings are driven by changes in the real interest rate component of the market rate (the rest of the market rate is taken up by the inflation expectations premium).  And real interest rates track closely with stock markets and economic growth.</w:t>
      </w:r>
    </w:p>
    <w:p>
      <w:pPr>
        <w:pStyle w:val="Normal"/>
        <w:jc w:val="both"/>
        <w:rPr>
          <w:sz w:val="28"/>
        </w:rPr>
      </w:pPr>
      <w:r>
        <w:rPr>
          <w:sz w:val="28"/>
        </w:rPr>
      </w:r>
    </w:p>
    <w:p>
      <w:pPr>
        <w:pStyle w:val="Normal"/>
        <w:jc w:val="both"/>
        <w:rPr>
          <w:sz w:val="28"/>
        </w:rPr>
      </w:pPr>
      <w:r>
        <w:rPr>
          <w:sz w:val="28"/>
        </w:rPr>
        <w:tab/>
        <w:t xml:space="preserve">So-called real interest rates reflect the economywide rate of return on capital investment.  As real returns rise, and real economic growth advances, rising real interest rates drive Treasury market yields higher.  But there’s nothing wrong with this.  Rising real interest rates merely reflect a healthy economy.  </w:t>
      </w:r>
    </w:p>
    <w:p>
      <w:pPr>
        <w:pStyle w:val="Normal"/>
        <w:jc w:val="both"/>
        <w:rPr>
          <w:sz w:val="28"/>
        </w:rPr>
      </w:pPr>
      <w:r>
        <w:rPr>
          <w:sz w:val="28"/>
        </w:rPr>
      </w:r>
    </w:p>
    <w:p>
      <w:pPr>
        <w:pStyle w:val="Normal"/>
        <w:jc w:val="both"/>
        <w:rPr/>
      </w:pPr>
      <w:r>
        <w:rPr>
          <w:sz w:val="28"/>
        </w:rPr>
        <w:tab/>
        <w:t xml:space="preserve">This is much different from the 1970s and other periods where inflationary </w:t>
      </w:r>
      <w:r>
        <w:drawing>
          <wp:anchor behindDoc="0" distT="0" distB="0" distL="0" distR="114935" simplePos="0" locked="0" layoutInCell="0" allowOverlap="1" relativeHeight="7">
            <wp:simplePos x="0" y="0"/>
            <wp:positionH relativeFrom="column">
              <wp:align>left</wp:align>
            </wp:positionH>
            <wp:positionV relativeFrom="paragraph">
              <wp:posOffset>274320</wp:posOffset>
            </wp:positionV>
            <wp:extent cx="4096385" cy="2894965"/>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9" r="-7" b="-9"/>
                    <a:stretch>
                      <a:fillRect/>
                    </a:stretch>
                  </pic:blipFill>
                  <pic:spPr bwMode="auto">
                    <a:xfrm>
                      <a:off x="0" y="0"/>
                      <a:ext cx="4096385" cy="2894965"/>
                    </a:xfrm>
                    <a:prstGeom prst="rect">
                      <a:avLst/>
                    </a:prstGeom>
                    <a:noFill/>
                  </pic:spPr>
                </pic:pic>
              </a:graphicData>
            </a:graphic>
          </wp:anchor>
        </w:drawing>
      </w:r>
      <w:r>
        <w:rPr>
          <w:sz w:val="28"/>
        </w:rPr>
        <w:t xml:space="preserve">fears were the biggest swing factor for interest rates.  In that case rising market rates were a cause for concern, as higher inflation closed down credit sources and acted like a huge tax increase on the economy, stifling investment, output and job creation.  </w:t>
      </w:r>
    </w:p>
    <w:p>
      <w:pPr>
        <w:pStyle w:val="Normal"/>
        <w:jc w:val="both"/>
        <w:rPr>
          <w:sz w:val="28"/>
        </w:rPr>
      </w:pPr>
      <w:r>
        <w:rPr>
          <w:sz w:val="28"/>
        </w:rPr>
      </w:r>
    </w:p>
    <w:p>
      <w:pPr>
        <w:pStyle w:val="Normal"/>
        <w:jc w:val="both"/>
        <w:rPr/>
      </w:pPr>
      <w:r>
        <w:rPr>
          <w:sz w:val="28"/>
        </w:rPr>
        <w:tab/>
        <w:t xml:space="preserve">The difference between real interest rates and inflation expectations seems like a technical matter to the untutored, but actually is hugely important.  Between 1995 and 2000 for example, Treasury rates pushed higher, from about 5% to nearly 7%, </w:t>
      </w:r>
      <w:r>
        <w:drawing>
          <wp:anchor behindDoc="0" distT="0" distB="0" distL="0" distR="114935" simplePos="0" locked="0" layoutInCell="0" allowOverlap="1" relativeHeight="8">
            <wp:simplePos x="0" y="0"/>
            <wp:positionH relativeFrom="column">
              <wp:align>left</wp:align>
            </wp:positionH>
            <wp:positionV relativeFrom="paragraph">
              <wp:posOffset>1188720</wp:posOffset>
            </wp:positionV>
            <wp:extent cx="4096385" cy="2897505"/>
            <wp:effectExtent l="0" t="0" r="0" b="0"/>
            <wp:wrapSquare wrapText="bothSides"/>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7" t="-9" r="-7" b="-9"/>
                    <a:stretch>
                      <a:fillRect/>
                    </a:stretch>
                  </pic:blipFill>
                  <pic:spPr bwMode="auto">
                    <a:xfrm>
                      <a:off x="0" y="0"/>
                      <a:ext cx="4096385" cy="2897505"/>
                    </a:xfrm>
                    <a:prstGeom prst="rect">
                      <a:avLst/>
                    </a:prstGeom>
                    <a:noFill/>
                  </pic:spPr>
                </pic:pic>
              </a:graphicData>
            </a:graphic>
          </wp:anchor>
        </w:drawing>
      </w:r>
      <w:r>
        <w:rPr>
          <w:sz w:val="28"/>
        </w:rPr>
        <w:t>but the economy was growing at better than 4% with tame inflation.  The stock market roared.  The average yield on the ten-year bellwether Treasury bond was 6.05%.</w:t>
      </w:r>
    </w:p>
    <w:p>
      <w:pPr>
        <w:pStyle w:val="Normal"/>
        <w:jc w:val="both"/>
        <w:rPr>
          <w:sz w:val="28"/>
        </w:rPr>
      </w:pPr>
      <w:r>
        <w:rPr>
          <w:sz w:val="28"/>
        </w:rPr>
      </w:r>
    </w:p>
    <w:p>
      <w:pPr>
        <w:pStyle w:val="Normal"/>
        <w:jc w:val="both"/>
        <w:rPr>
          <w:sz w:val="28"/>
        </w:rPr>
      </w:pPr>
      <w:r>
        <w:rPr>
          <w:sz w:val="28"/>
        </w:rPr>
        <w:tab/>
        <w:t>Today, however, that same ten-year Treasury is yielding only 4½%.  At first blush, this looks like a good thing.  However, it’s not a good thing because the low interest rate reflects a recessionary economy.  Over the past eighteen months, as the economy has shifted from boom to bust, the ten-year note has dropped from 6½% to 4½%.  What happened?  Well the economic slump has brought down investment returns and economic growth.  So the real interest rate component of the ten-year Treasury has shrunk substantially.</w:t>
      </w:r>
    </w:p>
    <w:p>
      <w:pPr>
        <w:pStyle w:val="Normal"/>
        <w:jc w:val="both"/>
        <w:rPr>
          <w:sz w:val="28"/>
        </w:rPr>
      </w:pPr>
      <w:r>
        <w:rPr>
          <w:sz w:val="28"/>
        </w:rPr>
      </w:r>
    </w:p>
    <w:p>
      <w:pPr>
        <w:pStyle w:val="Normal"/>
        <w:jc w:val="both"/>
        <w:rPr>
          <w:sz w:val="28"/>
        </w:rPr>
      </w:pPr>
      <w:r>
        <w:rPr>
          <w:sz w:val="28"/>
        </w:rPr>
        <w:tab/>
        <w:t xml:space="preserve">The accompanying charts show the clear relationship between real interest rates, the stock market and economic growth.  Correlations are highly positive.  We can do this sort of modeling today with the help of a relatively new market instrument, namely the Treasury Inflation Protection Securities (TIPS).  </w:t>
      </w:r>
    </w:p>
    <w:p>
      <w:pPr>
        <w:pStyle w:val="Normal"/>
        <w:jc w:val="both"/>
        <w:rPr>
          <w:sz w:val="28"/>
        </w:rPr>
      </w:pPr>
      <w:r>
        <w:rPr>
          <w:sz w:val="28"/>
        </w:rPr>
      </w:r>
    </w:p>
    <w:p>
      <w:pPr>
        <w:pStyle w:val="Normal"/>
        <w:jc w:val="both"/>
        <w:rPr>
          <w:sz w:val="28"/>
        </w:rPr>
      </w:pPr>
      <w:r>
        <w:rPr>
          <w:sz w:val="28"/>
        </w:rPr>
        <w:tab/>
        <w:t xml:space="preserve">TIPS trade daily in the open market.  In addition to their roughly 3% interest coupon, their principal is protected by a semi-annual government payment which is pegged to the consumer price index.  This inflation allowance offsets any principal value erosion from the effects of rising prices.  Consequently, the inflation-proof yield on TIPS is a proxy for the economy’s real interest rate.  </w:t>
      </w:r>
    </w:p>
    <w:p>
      <w:pPr>
        <w:pStyle w:val="Normal"/>
        <w:jc w:val="both"/>
        <w:rPr>
          <w:sz w:val="28"/>
        </w:rPr>
      </w:pPr>
      <w:r>
        <w:rPr>
          <w:sz w:val="28"/>
        </w:rPr>
      </w:r>
    </w:p>
    <w:p>
      <w:pPr>
        <w:pStyle w:val="Normal"/>
        <w:jc w:val="both"/>
        <w:rPr>
          <w:sz w:val="28"/>
        </w:rPr>
      </w:pPr>
      <w:r>
        <w:rPr>
          <w:sz w:val="28"/>
        </w:rPr>
        <w:tab/>
        <w:t xml:space="preserve">Turns out that inflation-indexed TIPS are highly correlated with the stock market and the economy.  Declining investment returns, sinking stocks and falling economic growth are all captured in declining TIPS yields.  Ten-year TIPS, for example, have dropped to roughly 3% today from nearly 4½% eighteen months ago.  This is the biggest reason for the decline in the nominal or market rate on ten-year Treasuries.  </w:t>
      </w:r>
    </w:p>
    <w:p>
      <w:pPr>
        <w:pStyle w:val="Normal"/>
        <w:jc w:val="both"/>
        <w:rPr>
          <w:sz w:val="28"/>
        </w:rPr>
      </w:pPr>
      <w:r>
        <w:rPr>
          <w:sz w:val="28"/>
        </w:rPr>
      </w:r>
    </w:p>
    <w:p>
      <w:pPr>
        <w:pStyle w:val="Normal"/>
        <w:jc w:val="both"/>
        <w:rPr>
          <w:sz w:val="28"/>
        </w:rPr>
      </w:pPr>
      <w:r>
        <w:rPr>
          <w:sz w:val="28"/>
        </w:rPr>
        <w:tab/>
        <w:t>Going back to Mr. Bush, his new tax-cut plan is presumably designed to foster higher investment returns, stronger economic growth and more jobs.  But, higher after-tax returns to capital, business and labor would be reflected in rising real interest rates.  So investors would sell their TIPS and go back to buying stocks.  Consequently, TIPS rates will rise.  And, that means the market rate on ten-year Treasuries will rise roughly in sync with the rising real interest rate component.</w:t>
      </w:r>
    </w:p>
    <w:p>
      <w:pPr>
        <w:pStyle w:val="Normal"/>
        <w:jc w:val="both"/>
        <w:rPr>
          <w:sz w:val="28"/>
        </w:rPr>
      </w:pPr>
      <w:r>
        <w:rPr>
          <w:sz w:val="28"/>
        </w:rPr>
      </w:r>
    </w:p>
    <w:p>
      <w:pPr>
        <w:pStyle w:val="Normal"/>
        <w:jc w:val="both"/>
        <w:rPr>
          <w:sz w:val="28"/>
        </w:rPr>
      </w:pPr>
      <w:r>
        <w:rPr>
          <w:sz w:val="28"/>
        </w:rPr>
        <w:tab/>
        <w:t xml:space="preserve">There’s no need to overstate the benefits of rising real interest rates and higher market yields, it is sufficient to note that should the economy return to 3 ½% growth next year, it is likely that the ten-year Treasury note rate will move up to perhaps 5% or 5 ½%, or nearly a percentage point above today’s rate.  This would be a good thing, not a bad thing.  </w:t>
      </w:r>
    </w:p>
    <w:p>
      <w:pPr>
        <w:pStyle w:val="Normal"/>
        <w:jc w:val="both"/>
        <w:rPr>
          <w:sz w:val="28"/>
        </w:rPr>
      </w:pPr>
      <w:r>
        <w:rPr>
          <w:sz w:val="28"/>
        </w:rPr>
      </w:r>
    </w:p>
    <w:p>
      <w:pPr>
        <w:pStyle w:val="Normal"/>
        <w:jc w:val="both"/>
        <w:rPr>
          <w:sz w:val="28"/>
        </w:rPr>
      </w:pPr>
      <w:r>
        <w:rPr>
          <w:sz w:val="28"/>
        </w:rPr>
        <w:tab/>
        <w:t xml:space="preserve">So now we’re in the position of arguing that a mild increase in both real and nominal Treasury yields is something to be desired, not shunned.  If Washington policymakers do their job, then raising after-tax investment returns and promoting stronger real economic growth will generate a completely different outcome than the one prescribed by Robert Rubin.  </w:t>
      </w:r>
    </w:p>
    <w:p>
      <w:pPr>
        <w:pStyle w:val="Normal"/>
        <w:jc w:val="both"/>
        <w:rPr>
          <w:sz w:val="28"/>
        </w:rPr>
      </w:pPr>
      <w:r>
        <w:rPr>
          <w:sz w:val="28"/>
        </w:rPr>
      </w:r>
    </w:p>
    <w:p>
      <w:pPr>
        <w:pStyle w:val="Normal"/>
        <w:jc w:val="both"/>
        <w:rPr>
          <w:sz w:val="28"/>
        </w:rPr>
      </w:pPr>
      <w:r>
        <w:rPr>
          <w:sz w:val="28"/>
        </w:rPr>
        <w:tab/>
        <w:t xml:space="preserve">Whether Mr. Rubin understands real interest rates and TIPS securities is unknowable.  Ironically, the real interest rate TIPS were launched during Mr. Rubin’s tenure as Treasury Secretary.  So perhaps if he goes back and re-reads old memos from his former government agency, he will realize that the best thing for America would be a real interest rate-raising economic growth policy that helps win the war against terrorism abroad by promoting economic recovery at home.  </w:t>
      </w:r>
    </w:p>
    <w:p>
      <w:pPr>
        <w:pStyle w:val="Normal"/>
        <w:jc w:val="both"/>
        <w:rPr>
          <w:sz w:val="28"/>
        </w:rPr>
      </w:pPr>
      <w:r>
        <w:rPr>
          <w:sz w:val="28"/>
        </w:rPr>
      </w:r>
    </w:p>
    <w:p>
      <w:pPr>
        <w:pStyle w:val="Normal"/>
        <w:jc w:val="both"/>
        <w:rPr>
          <w:sz w:val="28"/>
        </w:rPr>
      </w:pPr>
      <w:r>
        <w:rPr>
          <w:sz w:val="28"/>
        </w:rPr>
        <w:tab/>
        <w:t>On the other hand, if we pursue Mr. Rubin’s arguments to the extreme, we’re left with a Japanese-style interest rate structure.  Long-term government bonds in Japan yield about 1½%.  Looks great, doesn’t it?  Trouble is, Japanese stock markets and economic growth have been sinking for over ten years.  Now we wouldn’t want that, would we?</w:t>
      </w:r>
    </w:p>
    <w:p>
      <w:pPr>
        <w:pStyle w:val="Normal"/>
        <w:jc w:val="both"/>
        <w:rPr>
          <w:sz w:val="28"/>
        </w:rPr>
      </w:pPr>
      <w:r>
        <w:rPr>
          <w:sz w:val="28"/>
        </w:rPr>
      </w:r>
    </w:p>
    <w:p>
      <w:pPr>
        <w:pStyle w:val="Normal"/>
        <w:jc w:val="both"/>
        <w:rPr>
          <w:sz w:val="28"/>
        </w:rPr>
      </w:pPr>
      <w:r>
        <w:rPr>
          <w:sz w:val="28"/>
        </w:rPr>
      </w:r>
    </w:p>
    <w:p>
      <w:pPr>
        <w:pStyle w:val="Normal"/>
        <w:jc w:val="both"/>
        <w:rPr/>
      </w:pPr>
      <w:r>
        <w:rPr/>
        <w:tab/>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5"/>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2001-10-03T18:56:00Z</dcterms:created>
  <dc:creator>Susan Varga</dc:creator>
  <dc:description/>
  <dc:language>en-CA</dc:language>
  <cp:lastModifiedBy>svarga</cp:lastModifiedBy>
  <cp:lastPrinted>2001-10-02T11:35:00Z</cp:lastPrinted>
  <dcterms:modified xsi:type="dcterms:W3CDTF">2001-10-03T18:56:00Z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