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CLIENT MEMO: Chill Out, Bond Traders</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September 18,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Normal"/>
        <w:jc w:val="both"/>
        <w:rPr>
          <w:sz w:val="28"/>
        </w:rPr>
      </w:pPr>
      <w:r>
        <w:rPr>
          <w:sz w:val="28"/>
        </w:rPr>
        <w:tab/>
        <w:t xml:space="preserve">As though we don’t have enough economic problems already, now some bond traders are baying over the prospect of higher future inflation after the Fed’s recent 50-basis point interest rate easing move.  If ever there was a non-starter thought, this is it.  There ain’t no inflation out there.  </w:t>
      </w:r>
    </w:p>
    <w:p>
      <w:pPr>
        <w:pStyle w:val="Normal"/>
        <w:jc w:val="both"/>
        <w:rPr>
          <w:sz w:val="28"/>
        </w:rPr>
      </w:pPr>
      <w:r>
        <w:rPr>
          <w:sz w:val="28"/>
        </w:rPr>
      </w:r>
    </w:p>
    <w:p>
      <w:pPr>
        <w:pStyle w:val="Normal"/>
        <w:ind w:firstLine="720" w:end="0"/>
        <w:jc w:val="both"/>
        <w:rPr/>
      </w:pPr>
      <w:r>
        <w:rPr>
          <w:sz w:val="28"/>
        </w:rPr>
        <w:t xml:space="preserve">Actually prices are falling everywhere.  In the most recent consumer price report for August nine of the twenty front-page categories registered price </w:t>
      </w:r>
      <w:r>
        <w:rPr>
          <w:i/>
          <w:iCs/>
          <w:sz w:val="28"/>
        </w:rPr>
        <w:t>declines</w:t>
      </w:r>
      <w:r>
        <w:rPr>
          <w:sz w:val="28"/>
        </w:rPr>
        <w:t xml:space="preserve">.  Over the past three months the CPI was flat, zero point zero.  And remember, this is a highly flawed index that actually overstates inflation by roughly 1% yearly.  </w:t>
      </w:r>
    </w:p>
    <w:p>
      <w:pPr>
        <w:pStyle w:val="Normal"/>
        <w:ind w:firstLine="720" w:end="0"/>
        <w:jc w:val="both"/>
        <w:rPr>
          <w:sz w:val="28"/>
        </w:rPr>
      </w:pPr>
      <w:r>
        <w:rPr>
          <w:sz w:val="28"/>
        </w:rPr>
      </w:r>
    </w:p>
    <w:p>
      <w:pPr>
        <w:pStyle w:val="Normal"/>
        <w:ind w:firstLine="720" w:end="0"/>
        <w:jc w:val="both"/>
        <w:rPr/>
      </w:pPr>
      <w:r>
        <w:rPr>
          <w:sz w:val="28"/>
        </w:rPr>
        <w:t xml:space="preserve">In fact, consumer prices have been falling more rapidly than the Fed’s policy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87495" cy="290830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87495" cy="2908300"/>
                    </a:xfrm>
                    <a:prstGeom prst="rect">
                      <a:avLst/>
                    </a:prstGeom>
                    <a:noFill/>
                  </pic:spPr>
                </pic:pic>
              </a:graphicData>
            </a:graphic>
          </wp:anchor>
        </w:drawing>
      </w:r>
      <w:r>
        <w:rPr>
          <w:sz w:val="28"/>
        </w:rPr>
        <w:t>target rate.  When adjusted for CPI changes, the real fed funds rate in the past three months is more than twice the level of the prior six-month average.  So the Fed is not as easy as some folks think.</w:t>
      </w:r>
    </w:p>
    <w:p>
      <w:pPr>
        <w:pStyle w:val="Normal"/>
        <w:ind w:firstLine="720" w:end="0"/>
        <w:jc w:val="both"/>
        <w:rPr>
          <w:sz w:val="28"/>
        </w:rPr>
      </w:pPr>
      <w:r>
        <w:rPr>
          <w:sz w:val="28"/>
        </w:rPr>
      </w:r>
    </w:p>
    <w:p>
      <w:pPr>
        <w:pStyle w:val="Normal"/>
        <w:ind w:firstLine="720" w:end="0"/>
        <w:jc w:val="both"/>
        <w:rPr/>
      </w:pPr>
      <w:r>
        <w:rPr>
          <w:sz w:val="28"/>
        </w:rPr>
        <w:t xml:space="preserve">And then there’s the producer price report, which reflects commodity trends, registering a 3.6% annual rate of </w:t>
      </w:r>
      <w:r>
        <w:rPr>
          <w:i/>
          <w:iCs/>
          <w:sz w:val="28"/>
        </w:rPr>
        <w:t>decline</w:t>
      </w:r>
      <w:r>
        <w:rPr>
          <w:sz w:val="28"/>
        </w:rPr>
        <w:t xml:space="preserve"> over the past three months.  Broad commodity market indexes like the Commodity Research Bureau and the Journal of Commerce have fallen nearly 15% over the past year, with industrial metals plunging more than 20%.  </w:t>
      </w:r>
    </w:p>
    <w:p>
      <w:pPr>
        <w:pStyle w:val="Normal"/>
        <w:ind w:firstLine="720" w:end="0"/>
        <w:jc w:val="both"/>
        <w:rPr>
          <w:sz w:val="28"/>
        </w:rPr>
      </w:pPr>
      <w:r>
        <w:rPr>
          <w:sz w:val="28"/>
        </w:rPr>
      </w:r>
    </w:p>
    <w:p>
      <w:pPr>
        <w:pStyle w:val="Normal"/>
        <w:ind w:firstLine="720" w:end="0"/>
        <w:jc w:val="both"/>
        <w:rPr/>
      </w:pPr>
      <w:r>
        <w:rPr>
          <w:sz w:val="28"/>
        </w:rPr>
        <w:t xml:space="preserve">Other leading indicators of inflation tell the same non-story.  The difference </w:t>
      </w:r>
      <w:r>
        <w:drawing>
          <wp:anchor behindDoc="0" distT="0" distB="0" distL="0" distR="114935" simplePos="0" locked="0" layoutInCell="0" allowOverlap="1" relativeHeight="7">
            <wp:simplePos x="0" y="0"/>
            <wp:positionH relativeFrom="column">
              <wp:align>left</wp:align>
            </wp:positionH>
            <wp:positionV relativeFrom="paragraph">
              <wp:posOffset>274320</wp:posOffset>
            </wp:positionV>
            <wp:extent cx="4087495" cy="289623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87495" cy="2896235"/>
                    </a:xfrm>
                    <a:prstGeom prst="rect">
                      <a:avLst/>
                    </a:prstGeom>
                    <a:noFill/>
                  </pic:spPr>
                </pic:pic>
              </a:graphicData>
            </a:graphic>
          </wp:anchor>
        </w:drawing>
      </w:r>
      <w:r>
        <w:rPr>
          <w:sz w:val="28"/>
        </w:rPr>
        <w:t xml:space="preserve">between 10-year Treasuries and 10-year inflation-adjusted Treasuries, which is often used as a market-based inflation forecaster, has narrowed to only 1½ percentage points.  That is, the market is projecting a 1.5% consumer price index rate over the next ten years, virtual zero inflation.  The classic inflation barometer, gold, is in a twenty-year decline.  The foreign exchange value of the dollar remains strong, if off slightly from its peak.  In fact, the day after the Fed’s last easing move, when bond prices slumped, gold, the CRB and oil all declined.  </w:t>
      </w:r>
    </w:p>
    <w:p>
      <w:pPr>
        <w:pStyle w:val="Normal"/>
        <w:ind w:firstLine="720" w:end="0"/>
        <w:jc w:val="both"/>
        <w:rPr>
          <w:sz w:val="28"/>
        </w:rPr>
      </w:pPr>
      <w:r>
        <w:rPr>
          <w:sz w:val="28"/>
        </w:rPr>
      </w:r>
    </w:p>
    <w:p>
      <w:pPr>
        <w:pStyle w:val="Normal"/>
        <w:ind w:firstLine="720" w:end="0"/>
        <w:jc w:val="both"/>
        <w:rPr>
          <w:sz w:val="28"/>
        </w:rPr>
      </w:pPr>
      <w:r>
        <w:rPr>
          <w:sz w:val="28"/>
        </w:rPr>
        <w:t xml:space="preserve">Want more evidence?  For those Keynesian Phillips-curvers out there who believe that too many people working, producing and prospering is the cause of inflation, there is not much happening on that front either.  Regrettably.  </w:t>
      </w:r>
    </w:p>
    <w:p>
      <w:pPr>
        <w:pStyle w:val="Normal"/>
        <w:ind w:firstLine="720" w:end="0"/>
        <w:jc w:val="both"/>
        <w:rPr>
          <w:sz w:val="28"/>
        </w:rPr>
      </w:pPr>
      <w:r>
        <w:rPr>
          <w:sz w:val="28"/>
        </w:rPr>
      </w:r>
    </w:p>
    <w:p>
      <w:pPr>
        <w:pStyle w:val="Normal"/>
        <w:ind w:firstLine="720" w:end="0"/>
        <w:jc w:val="both"/>
        <w:rPr>
          <w:sz w:val="28"/>
        </w:rPr>
      </w:pPr>
      <w:r>
        <w:rPr>
          <w:sz w:val="28"/>
        </w:rPr>
        <w:t xml:space="preserve">Capacity use in the manufacturing sector has slumped to 75% from 82%.  In the technology area, factory use has plunged to 65% from 90%.  Increasingly slack labor markets are generating higher unemployment.  Private sector gross domestic product (less government and trade) has declined two straight quarters.  And because of the insane actions of a bunch of suicidal, kamikaze desert rugrats, the U.S. economy has just lost upwards of $100 billion in output and income, not to speak of the heartbreaking loss of human capital and human lives.  </w:t>
      </w:r>
    </w:p>
    <w:p>
      <w:pPr>
        <w:pStyle w:val="Normal"/>
        <w:ind w:firstLine="720" w:end="0"/>
        <w:jc w:val="both"/>
        <w:rPr>
          <w:sz w:val="28"/>
        </w:rPr>
      </w:pPr>
      <w:r>
        <w:rPr>
          <w:sz w:val="28"/>
        </w:rPr>
      </w:r>
    </w:p>
    <w:p>
      <w:pPr>
        <w:pStyle w:val="Normal"/>
        <w:ind w:firstLine="720" w:end="0"/>
        <w:jc w:val="both"/>
        <w:rPr>
          <w:sz w:val="28"/>
        </w:rPr>
      </w:pPr>
      <w:r>
        <w:rPr>
          <w:sz w:val="28"/>
        </w:rPr>
        <w:t xml:space="preserve">Some traders are pointing at potentially inflationist Federal Reserve actions to add emergency liquidity to backstop the U.S. banking system during the terrorist war crisis.  But there’s a factual misunderstanding here.  Each day the central bank announces its volume of repurchase agreements, whereby the Fed buys short-term Treasury securities and pay for them with cash.  Some people are calculating over $250 billion of liquidity injections.  But this is wrong.  </w:t>
      </w:r>
    </w:p>
    <w:p>
      <w:pPr>
        <w:pStyle w:val="Normal"/>
        <w:ind w:firstLine="720" w:end="0"/>
        <w:jc w:val="both"/>
        <w:rPr>
          <w:sz w:val="28"/>
        </w:rPr>
      </w:pPr>
      <w:r>
        <w:rPr>
          <w:sz w:val="28"/>
        </w:rPr>
      </w:r>
    </w:p>
    <w:p>
      <w:pPr>
        <w:pStyle w:val="Normal"/>
        <w:ind w:firstLine="720" w:end="0"/>
        <w:jc w:val="both"/>
        <w:rPr/>
      </w:pPr>
      <w:r>
        <w:rPr>
          <w:sz w:val="28"/>
        </w:rPr>
        <w:t xml:space="preserve">The Fed is conducting </w:t>
      </w:r>
      <w:r>
        <w:rPr>
          <w:i/>
          <w:iCs/>
          <w:sz w:val="28"/>
        </w:rPr>
        <w:t>overnight</w:t>
      </w:r>
      <w:r>
        <w:rPr>
          <w:sz w:val="28"/>
        </w:rPr>
        <w:t xml:space="preserve"> repos.  In order to tally the numbers properly, analysts should be averaging the daily repurchase volume, instead of adding up the total.  When properly accounted the Fed so far has injected $64 billion on a daily average basis, roughly a 10% addition to the base of Federal Reserve credit.  </w:t>
      </w:r>
    </w:p>
    <w:p>
      <w:pPr>
        <w:pStyle w:val="Normal"/>
        <w:ind w:firstLine="720" w:end="0"/>
        <w:jc w:val="both"/>
        <w:rPr>
          <w:sz w:val="28"/>
        </w:rPr>
      </w:pPr>
      <w:r>
        <w:rPr>
          <w:sz w:val="28"/>
        </w:rPr>
      </w:r>
    </w:p>
    <w:p>
      <w:pPr>
        <w:pStyle w:val="Normal"/>
        <w:ind w:firstLine="720" w:end="0"/>
        <w:jc w:val="both"/>
        <w:rPr>
          <w:sz w:val="28"/>
        </w:rPr>
      </w:pPr>
      <w:r>
        <w:rPr>
          <w:sz w:val="28"/>
        </w:rPr>
        <w:t xml:space="preserve">My great hope is that the monetary authority keeps the additional liquidity in the financial system in order to replenish their prior mistaken scorched-earth deflation of liquidity.  The U.S. monetary base has resumed its growth lately, registering a 7% increase over the past year.  This is a good thing.  In 2000 base growth plunged from 16% to minus 2%, and it is exactly that extraordinary deflation of high-powered liquidity that is the principal factor behind our current recessionary economy.  </w:t>
      </w:r>
    </w:p>
    <w:p>
      <w:pPr>
        <w:pStyle w:val="Normal"/>
        <w:jc w:val="both"/>
        <w:rPr>
          <w:sz w:val="28"/>
        </w:rPr>
      </w:pPr>
      <w:r>
        <w:rPr>
          <w:sz w:val="28"/>
        </w:rPr>
      </w:r>
    </w:p>
    <w:p>
      <w:pPr>
        <w:pStyle w:val="Normal"/>
        <w:ind w:firstLine="720" w:end="0"/>
        <w:jc w:val="both"/>
        <w:rPr>
          <w:sz w:val="28"/>
        </w:rPr>
      </w:pPr>
      <w:r>
        <w:rPr>
          <w:sz w:val="28"/>
        </w:rPr>
        <w:t xml:space="preserve">The fact that long-term Treasury prices have dropped a bit after rallying substantially in the prior three months is of no consequence.  The bellwether 10-year Treasury note is currently yielding 4.70%, close to its all-time low rate, and we should be grateful for this.  The combination of low interest rates and additional monetary liquidity sets the stage for a sizable stock market rally and a non-inflationary economic growth recovery next year.  </w:t>
      </w:r>
    </w:p>
    <w:p>
      <w:pPr>
        <w:pStyle w:val="Normal"/>
        <w:ind w:firstLine="720" w:end="0"/>
        <w:jc w:val="both"/>
        <w:rPr>
          <w:sz w:val="28"/>
        </w:rPr>
      </w:pPr>
      <w:r>
        <w:rPr>
          <w:sz w:val="28"/>
        </w:rPr>
      </w:r>
    </w:p>
    <w:p>
      <w:pPr>
        <w:pStyle w:val="Normal"/>
        <w:ind w:firstLine="720" w:end="0"/>
        <w:jc w:val="both"/>
        <w:rPr>
          <w:sz w:val="28"/>
        </w:rPr>
      </w:pPr>
      <w:r>
        <w:rPr>
          <w:sz w:val="28"/>
        </w:rPr>
        <w:t xml:space="preserve">If bond traders are worried about using the unified Federal budget surplus for infrastructure spending and business tax-cuts, they are wrong.  Infrastructure spending to protect our security at home and abroad is really supply-side spending to enhance business, trade and family security.  Not to speak of our very freedom and democracy.  </w:t>
      </w:r>
    </w:p>
    <w:p>
      <w:pPr>
        <w:pStyle w:val="Normal"/>
        <w:ind w:firstLine="720" w:end="0"/>
        <w:jc w:val="both"/>
        <w:rPr>
          <w:sz w:val="28"/>
        </w:rPr>
      </w:pPr>
      <w:r>
        <w:rPr>
          <w:sz w:val="28"/>
        </w:rPr>
      </w:r>
    </w:p>
    <w:p>
      <w:pPr>
        <w:pStyle w:val="Normal"/>
        <w:ind w:firstLine="720" w:end="0"/>
        <w:jc w:val="both"/>
        <w:rPr/>
      </w:pPr>
      <w:r>
        <w:rPr>
          <w:sz w:val="28"/>
        </w:rPr>
        <w:t xml:space="preserve">Meanwhile lower tax-rates on capital investment and business equipment purchases will lift the economy’s growth rate in the years ahead by increasing the supply of risk capital and reducing the cost of technology equipment, the two weakest economic sectors. As a result, more goods to absorb the existing money supply actually </w:t>
      </w:r>
      <w:r>
        <w:rPr>
          <w:i/>
          <w:iCs/>
          <w:sz w:val="28"/>
        </w:rPr>
        <w:t xml:space="preserve">reduces </w:t>
      </w:r>
      <w:r>
        <w:rPr>
          <w:sz w:val="28"/>
        </w:rPr>
        <w:t xml:space="preserve">inflation pressures, if there are any ever again in our lifetime.  For you budget hawks, remember that only sustained economic growth will create surpluses over the long-term.  </w:t>
      </w:r>
    </w:p>
    <w:p>
      <w:pPr>
        <w:pStyle w:val="Normal"/>
        <w:ind w:firstLine="720" w:end="0"/>
        <w:jc w:val="both"/>
        <w:rPr>
          <w:sz w:val="28"/>
        </w:rPr>
      </w:pPr>
      <w:r>
        <w:rPr>
          <w:sz w:val="28"/>
        </w:rPr>
      </w:r>
    </w:p>
    <w:p>
      <w:pPr>
        <w:pStyle w:val="Normal"/>
        <w:ind w:firstLine="720" w:end="0"/>
        <w:jc w:val="both"/>
        <w:rPr>
          <w:sz w:val="28"/>
        </w:rPr>
      </w:pPr>
      <w:r>
        <w:rPr>
          <w:sz w:val="28"/>
        </w:rPr>
        <w:t xml:space="preserve">Message to bond traders: please chill out.  </w:t>
        <w:tab/>
      </w:r>
    </w:p>
    <w:p>
      <w:pPr>
        <w:pStyle w:val="Header"/>
        <w:tabs>
          <w:tab w:val="clear" w:pos="4320"/>
          <w:tab w:val="clear" w:pos="8640"/>
        </w:tabs>
        <w:ind w:firstLine="720" w:end="0"/>
        <w:jc w:val="both"/>
        <w:rPr>
          <w:sz w:val="28"/>
        </w:rPr>
      </w:pPr>
      <w:r>
        <w:rPr>
          <w:sz w:val="28"/>
        </w:rPr>
        <w:t xml:space="preserve"> </w:t>
      </w:r>
    </w:p>
    <w:p>
      <w:pPr>
        <w:pStyle w:val="Header"/>
        <w:tabs>
          <w:tab w:val="clear" w:pos="4320"/>
          <w:tab w:val="clear" w:pos="8640"/>
        </w:tabs>
        <w:jc w:val="both"/>
        <w:rPr>
          <w:sz w:val="28"/>
        </w:rPr>
      </w:pPr>
      <w:r>
        <w:rPr>
          <w:sz w:val="28"/>
        </w:rPr>
      </w:r>
    </w:p>
    <w:p>
      <w:pPr>
        <w:pStyle w:val="Header"/>
        <w:tabs>
          <w:tab w:val="clear" w:pos="4320"/>
          <w:tab w:val="clear" w:pos="8640"/>
        </w:tabs>
        <w:jc w:val="both"/>
        <w:rPr>
          <w:sz w:val="28"/>
        </w:rPr>
      </w:pPr>
      <w:r>
        <w:rPr>
          <w:sz w:val="28"/>
        </w:rPr>
        <w:tab/>
      </w:r>
    </w:p>
    <w:p>
      <w:pPr>
        <w:pStyle w:val="Header"/>
        <w:tabs>
          <w:tab w:val="clear" w:pos="4320"/>
          <w:tab w:val="clear" w:pos="8640"/>
        </w:tabs>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2001-09-18T19:36:00Z</dcterms:created>
  <dc:creator>Susan Varga</dc:creator>
  <dc:description/>
  <dc:language>en-CA</dc:language>
  <cp:lastModifiedBy>svarga</cp:lastModifiedBy>
  <cp:lastPrinted>2001-09-18T17:59:00Z</cp:lastPrinted>
  <dcterms:modified xsi:type="dcterms:W3CDTF">2001-09-18T19:36:00Z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