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color w:val="993366"/>
          <w:sz w:val="40"/>
        </w:rPr>
      </w:pPr>
      <w:bookmarkStart w:id="2" w:name="AddTitle"/>
      <w:bookmarkEnd w:id="2"/>
      <w:r>
        <w:rPr>
          <w:b/>
          <w:color w:val="993366"/>
          <w:sz w:val="40"/>
        </w:rPr>
        <w:t>CLIENT MEMO: A Monetarist Recovery?</w:t>
      </w:r>
    </w:p>
    <w:p>
      <w:pPr>
        <w:pStyle w:val="Heading4"/>
        <w:ind w:hanging="0" w:start="0"/>
        <w:rPr>
          <w:sz w:val="28"/>
        </w:rPr>
      </w:pPr>
      <w:r>
        <w:rPr>
          <w:sz w:val="28"/>
        </w:rPr>
        <w:t>By Lawrence Kudlow &amp; John Park</w:t>
      </w:r>
    </w:p>
    <w:p>
      <w:pPr>
        <w:pStyle w:val="Normal"/>
        <w:pBdr>
          <w:bottom w:val="double" w:sz="6" w:space="1" w:color="000000"/>
        </w:pBdr>
        <w:tabs>
          <w:tab w:val="clear" w:pos="720"/>
          <w:tab w:val="right" w:pos="5587" w:leader="none"/>
          <w:tab w:val="right" w:pos="9360" w:leader="none"/>
        </w:tabs>
        <w:spacing w:lineRule="exact" w:line="200"/>
        <w:rPr>
          <w:rStyle w:val="Date1"/>
          <w:sz w:val="28"/>
        </w:rPr>
      </w:pPr>
      <w:r>
        <w:rPr>
          <w:sz w:val="28"/>
        </w:rPr>
      </w:r>
    </w:p>
    <w:p>
      <w:pPr>
        <w:pStyle w:val="Normal"/>
        <w:pBdr>
          <w:bottom w:val="double" w:sz="6" w:space="1" w:color="000000"/>
        </w:pBdr>
        <w:tabs>
          <w:tab w:val="clear" w:pos="720"/>
          <w:tab w:val="right" w:pos="5328" w:leader="none"/>
          <w:tab w:val="right" w:pos="9504" w:leader="none"/>
        </w:tabs>
        <w:rPr/>
      </w:pPr>
      <w:r>
        <w:rPr>
          <w:rStyle w:val="Date1"/>
          <w:b/>
          <w:bCs/>
        </w:rPr>
        <w:t>September 5,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rPr/>
      </w:pPr>
      <w:r>
        <w:rPr/>
      </w:r>
    </w:p>
    <w:p>
      <w:pPr>
        <w:pStyle w:val="BodyText"/>
        <w:spacing w:lineRule="auto" w:line="240"/>
        <w:jc w:val="both"/>
        <w:rPr/>
      </w:pPr>
      <w:r>
        <w:rPr/>
        <w:tab/>
        <w:t xml:space="preserve">It may only happen once every hundred years or so, but evidence over the past two years shows a tight fit between changes in the adjusted monetary base (published by the Federal Reserve Bank of St. Louis) and changes in nominal gross domestic product.  </w:t>
      </w:r>
    </w:p>
    <w:p>
      <w:pPr>
        <w:pStyle w:val="Normal"/>
        <w:jc w:val="both"/>
        <w:rPr>
          <w:sz w:val="28"/>
        </w:rPr>
      </w:pPr>
      <w:r>
        <w:rPr>
          <w:sz w:val="28"/>
        </w:rPr>
      </w:r>
    </w:p>
    <w:p>
      <w:pPr>
        <w:pStyle w:val="Normal"/>
        <w:jc w:val="both"/>
        <w:rPr>
          <w:sz w:val="28"/>
        </w:rPr>
      </w:pPr>
      <w:r>
        <w:rPr>
          <w:sz w:val="28"/>
        </w:rPr>
        <w:tab/>
        <w:t xml:space="preserve">The accompanying chart shows that the Fed grew the monetary base to a 13% peak in early 2000, then totally deflated the base to zero growth about a year later.  As you can see, money GDP growth swung up and then swung back down.  It’s also the case that swings in the Nasdaq moved basically in sync with movements in base growth.  </w:t>
      </w:r>
    </w:p>
    <w:p>
      <w:pPr>
        <w:pStyle w:val="Normal"/>
        <w:jc w:val="both"/>
        <w:rPr>
          <w:sz w:val="28"/>
        </w:rPr>
      </w:pPr>
      <w:r>
        <w:rPr>
          <w:sz w:val="28"/>
        </w:rPr>
      </w:r>
    </w:p>
    <w:p>
      <w:pPr>
        <w:pStyle w:val="Normal"/>
        <w:jc w:val="both"/>
        <w:rPr/>
      </w:pPr>
      <w:r>
        <w:rPr>
          <w:sz w:val="28"/>
        </w:rPr>
        <w:tab/>
        <w:t xml:space="preserve">It’s hard to know exactly why the monetarist model appears to have suddenly </w:t>
      </w:r>
      <w:r>
        <w:drawing>
          <wp:anchor behindDoc="0" distT="0" distB="0" distL="0" distR="114935" simplePos="0" locked="0" layoutInCell="0" allowOverlap="1" relativeHeight="5">
            <wp:simplePos x="0" y="0"/>
            <wp:positionH relativeFrom="column">
              <wp:align>left</wp:align>
            </wp:positionH>
            <wp:positionV relativeFrom="paragraph">
              <wp:posOffset>274320</wp:posOffset>
            </wp:positionV>
            <wp:extent cx="4105910" cy="290639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105910" cy="2906395"/>
                    </a:xfrm>
                    <a:prstGeom prst="rect">
                      <a:avLst/>
                    </a:prstGeom>
                    <a:noFill/>
                  </pic:spPr>
                </pic:pic>
              </a:graphicData>
            </a:graphic>
          </wp:anchor>
        </w:drawing>
      </w:r>
      <w:r>
        <w:rPr>
          <w:sz w:val="28"/>
        </w:rPr>
        <w:t xml:space="preserve">started working.  Historically, the base-GDP relationship is not very good, but the Y2K period is an exception.  For the 1999 Q1 to 2001 Q2, the base (with a two-quarter lead) has a correlation of 0.98 with GDP.  The R-squared (explanatory power) is 0.97.  </w:t>
      </w:r>
    </w:p>
    <w:p>
      <w:pPr>
        <w:pStyle w:val="Normal"/>
        <w:jc w:val="both"/>
        <w:rPr>
          <w:sz w:val="28"/>
        </w:rPr>
      </w:pPr>
      <w:r>
        <w:rPr>
          <w:sz w:val="28"/>
        </w:rPr>
      </w:r>
    </w:p>
    <w:p>
      <w:pPr>
        <w:pStyle w:val="Normal"/>
        <w:jc w:val="both"/>
        <w:rPr>
          <w:sz w:val="28"/>
        </w:rPr>
      </w:pPr>
      <w:r>
        <w:rPr>
          <w:sz w:val="28"/>
        </w:rPr>
        <w:tab/>
        <w:t xml:space="preserve">Noteworthy is a related point that the velocity of the monetary base has been relatively stable in the past four quarters, declining by a small 0.7% quarterly average.  This contrasts with the near-total collapse of M2 velocity.  </w:t>
      </w:r>
    </w:p>
    <w:p>
      <w:pPr>
        <w:pStyle w:val="Normal"/>
        <w:jc w:val="both"/>
        <w:rPr>
          <w:sz w:val="28"/>
        </w:rPr>
      </w:pPr>
      <w:r>
        <w:rPr>
          <w:sz w:val="28"/>
        </w:rPr>
      </w:r>
    </w:p>
    <w:p>
      <w:pPr>
        <w:pStyle w:val="Normal"/>
        <w:jc w:val="both"/>
        <w:rPr>
          <w:sz w:val="28"/>
        </w:rPr>
      </w:pPr>
      <w:r>
        <w:rPr>
          <w:sz w:val="28"/>
        </w:rPr>
        <w:tab/>
        <w:t xml:space="preserve">Also noteworthy is the fact that base growth has been increasing significantly.  Since mid-April, base growth has accelerated to an 11.7% annual rate.  From a near zero growth rate of the base at the turn of last year, four-quarter base growth has increased to about 4%.  Over the past twelve months, base growth as measured by the St. Louis Fed has moved up to 6.3%.  </w:t>
      </w:r>
    </w:p>
    <w:p>
      <w:pPr>
        <w:pStyle w:val="Normal"/>
        <w:jc w:val="both"/>
        <w:rPr>
          <w:sz w:val="28"/>
        </w:rPr>
      </w:pPr>
      <w:r>
        <w:rPr>
          <w:sz w:val="28"/>
        </w:rPr>
      </w:r>
    </w:p>
    <w:p>
      <w:pPr>
        <w:pStyle w:val="Normal"/>
        <w:jc w:val="both"/>
        <w:rPr>
          <w:sz w:val="28"/>
        </w:rPr>
      </w:pPr>
      <w:r>
        <w:rPr>
          <w:sz w:val="28"/>
        </w:rPr>
        <w:tab/>
        <w:t xml:space="preserve">Using a simple model, the upturn in monetary base growth predicts that four-quarter nominal GDP growth will increase from 3.5% currently (2.4% ar in Q2 alone) to about 4.5% in the fourth quarter.  Extrapolating into next year, money GDP growth of 5% to 6% is not completely out of the question.  </w:t>
      </w:r>
    </w:p>
    <w:p>
      <w:pPr>
        <w:pStyle w:val="Normal"/>
        <w:jc w:val="both"/>
        <w:rPr>
          <w:sz w:val="28"/>
        </w:rPr>
      </w:pPr>
      <w:r>
        <w:rPr>
          <w:sz w:val="28"/>
        </w:rPr>
      </w:r>
    </w:p>
    <w:p>
      <w:pPr>
        <w:pStyle w:val="Normal"/>
        <w:jc w:val="both"/>
        <w:rPr/>
      </w:pPr>
      <w:r>
        <w:rPr>
          <w:sz w:val="28"/>
        </w:rPr>
        <w:tab/>
        <w:t xml:space="preserve">Assuming broad inflation measures continue to register 2% or less, this </w:t>
      </w:r>
      <w:r>
        <w:drawing>
          <wp:anchor behindDoc="0" distT="0" distB="0" distL="0" distR="114935" simplePos="0" locked="0" layoutInCell="0" allowOverlap="1" relativeHeight="6">
            <wp:simplePos x="0" y="0"/>
            <wp:positionH relativeFrom="column">
              <wp:align>left</wp:align>
            </wp:positionH>
            <wp:positionV relativeFrom="paragraph">
              <wp:posOffset>274320</wp:posOffset>
            </wp:positionV>
            <wp:extent cx="4105910" cy="3018155"/>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9" r="-7" b="-9"/>
                    <a:stretch>
                      <a:fillRect/>
                    </a:stretch>
                  </pic:blipFill>
                  <pic:spPr bwMode="auto">
                    <a:xfrm>
                      <a:off x="0" y="0"/>
                      <a:ext cx="4105910" cy="3018155"/>
                    </a:xfrm>
                    <a:prstGeom prst="rect">
                      <a:avLst/>
                    </a:prstGeom>
                    <a:noFill/>
                  </pic:spPr>
                </pic:pic>
              </a:graphicData>
            </a:graphic>
          </wp:anchor>
        </w:drawing>
      </w:r>
      <w:r>
        <w:rPr>
          <w:sz w:val="28"/>
        </w:rPr>
        <w:t xml:space="preserve">monetarist model leaves the door open to better than 3% real economic growth in next year’s first half.  A 2%-type recovery rate in this year’s fourth quarter is also on the horizon.  </w:t>
      </w:r>
    </w:p>
    <w:p>
      <w:pPr>
        <w:pStyle w:val="Normal"/>
        <w:jc w:val="both"/>
        <w:rPr>
          <w:sz w:val="28"/>
        </w:rPr>
      </w:pPr>
      <w:r>
        <w:rPr>
          <w:sz w:val="28"/>
        </w:rPr>
      </w:r>
    </w:p>
    <w:p>
      <w:pPr>
        <w:pStyle w:val="Normal"/>
        <w:jc w:val="both"/>
        <w:rPr>
          <w:sz w:val="28"/>
        </w:rPr>
      </w:pPr>
      <w:r>
        <w:rPr>
          <w:sz w:val="28"/>
        </w:rPr>
        <w:tab/>
        <w:t xml:space="preserve">Of course there are non-monetarist explanations for the upturn and the downturn in GDP.  Fed interest rate overkill, plus Federal anti-trust over-regulation of Microsoft and other techie companies, could well have reduced the demand for money.  So declining base growth merely represents a corresponding drop in the Fed’s creation of the supply of money.  </w:t>
      </w:r>
    </w:p>
    <w:p>
      <w:pPr>
        <w:pStyle w:val="Normal"/>
        <w:jc w:val="both"/>
        <w:rPr>
          <w:sz w:val="28"/>
        </w:rPr>
      </w:pPr>
      <w:r>
        <w:rPr>
          <w:sz w:val="28"/>
        </w:rPr>
      </w:r>
    </w:p>
    <w:p>
      <w:pPr>
        <w:pStyle w:val="Normal"/>
        <w:jc w:val="both"/>
        <w:rPr>
          <w:sz w:val="28"/>
        </w:rPr>
      </w:pPr>
      <w:r>
        <w:rPr>
          <w:sz w:val="28"/>
        </w:rPr>
        <w:tab/>
        <w:t xml:space="preserve">As you may know, the monetary base is comprised of bank reserves and currency.  The Fed controls the base through its open market purchases and sales of Treasury securities.  Essentially, the base represents the basic measure of liquidity supplied to the financial system and the economy by the Fed.  In terms of the Fed’s balance sheet, which is the purest statement of liquidity, Federal Reserve credit measured over twelve-month periods has increased to over 7% recently from -3% last December.  </w:t>
      </w:r>
    </w:p>
    <w:p>
      <w:pPr>
        <w:pStyle w:val="Normal"/>
        <w:jc w:val="both"/>
        <w:rPr>
          <w:sz w:val="28"/>
        </w:rPr>
      </w:pPr>
      <w:r>
        <w:rPr>
          <w:sz w:val="28"/>
        </w:rPr>
      </w:r>
    </w:p>
    <w:p>
      <w:pPr>
        <w:pStyle w:val="Normal"/>
        <w:jc w:val="both"/>
        <w:rPr/>
      </w:pPr>
      <w:r>
        <w:rPr>
          <w:sz w:val="28"/>
        </w:rPr>
        <w:tab/>
        <w:t xml:space="preserve">As the Fed has gradually replenished liquidity, there is an </w:t>
      </w:r>
      <w:r>
        <w:rPr>
          <w:i/>
          <w:iCs/>
          <w:sz w:val="28"/>
        </w:rPr>
        <w:t>apparent</w:t>
      </w:r>
      <w:r>
        <w:rPr>
          <w:sz w:val="28"/>
        </w:rPr>
        <w:t xml:space="preserve"> stabilization of gold and broad commodity indexes.  Similarly, the two-year Treasury note is trading about 25 basis points above the fed funds rate.  Not enough for our taste -- it should be 75 basis points -- but at least the liquidity end of the Treasury curve is no longer inverted.  </w:t>
      </w:r>
    </w:p>
    <w:p>
      <w:pPr>
        <w:pStyle w:val="Normal"/>
        <w:jc w:val="both"/>
        <w:rPr>
          <w:sz w:val="28"/>
        </w:rPr>
      </w:pPr>
      <w:r>
        <w:rPr>
          <w:sz w:val="28"/>
        </w:rPr>
      </w:r>
    </w:p>
    <w:p>
      <w:pPr>
        <w:pStyle w:val="Normal"/>
        <w:jc w:val="both"/>
        <w:rPr>
          <w:sz w:val="28"/>
        </w:rPr>
      </w:pPr>
      <w:r>
        <w:rPr>
          <w:sz w:val="28"/>
        </w:rPr>
        <w:tab/>
        <w:t xml:space="preserve">The net-net of all this is to put on the table the possibility that a monetarist recession could become a monetarist recovery.  </w:t>
      </w:r>
    </w:p>
    <w:p>
      <w:pPr>
        <w:pStyle w:val="Normal"/>
        <w:jc w:val="both"/>
        <w:rPr>
          <w:sz w:val="28"/>
        </w:rPr>
      </w:pPr>
      <w:r>
        <w:rPr>
          <w:sz w:val="28"/>
        </w:rPr>
      </w:r>
    </w:p>
    <w:p>
      <w:pPr>
        <w:pStyle w:val="Normal"/>
        <w:jc w:val="both"/>
        <w:rPr>
          <w:sz w:val="28"/>
        </w:rPr>
      </w:pPr>
      <w:r>
        <w:rPr>
          <w:sz w:val="28"/>
        </w:rPr>
        <w:tab/>
        <w:t xml:space="preserve">In these circumstances nearly everyone on the planet is too bearish on the U.S. stock market.  As the capitulators capitulate, it may be time to start buying even as the gurus tell us to sell.  </w:t>
      </w:r>
    </w:p>
    <w:p>
      <w:pPr>
        <w:pStyle w:val="Normal"/>
        <w:jc w:val="both"/>
        <w:rPr>
          <w:sz w:val="28"/>
        </w:rPr>
      </w:pPr>
      <w:r>
        <w:rPr>
          <w:sz w:val="28"/>
        </w:rPr>
      </w:r>
    </w:p>
    <w:p>
      <w:pPr>
        <w:pStyle w:val="Normal"/>
        <w:jc w:val="both"/>
        <w:rPr>
          <w:sz w:val="28"/>
        </w:rPr>
      </w:pPr>
      <w:r>
        <w:rPr>
          <w:sz w:val="28"/>
        </w:rPr>
        <w:tab/>
        <w:t xml:space="preserve">Then again, there are no crystal ball geniuses.  We have other models, however, that use Treasury bill rate changes to predict GDP.  They also show a 3% plus recovery next year, starting in this year’s fourth quarter.  </w:t>
      </w:r>
    </w:p>
    <w:p>
      <w:pPr>
        <w:pStyle w:val="Normal"/>
        <w:jc w:val="both"/>
        <w:rPr>
          <w:sz w:val="28"/>
        </w:rPr>
      </w:pPr>
      <w:r>
        <w:rPr>
          <w:sz w:val="28"/>
        </w:rPr>
      </w:r>
    </w:p>
    <w:p>
      <w:pPr>
        <w:pStyle w:val="Normal"/>
        <w:jc w:val="both"/>
        <w:rPr>
          <w:sz w:val="28"/>
        </w:rPr>
      </w:pPr>
      <w:r>
        <w:rPr>
          <w:sz w:val="28"/>
        </w:rPr>
        <w:tab/>
        <w:t xml:space="preserve">Then again, in view of sagging investor spirits and bottom-of-the-sink business confidence, we’re not entirely sure that we believe our own forecasts.  </w:t>
      </w:r>
    </w:p>
    <w:p>
      <w:pPr>
        <w:pStyle w:val="Normal"/>
        <w:jc w:val="both"/>
        <w:rPr>
          <w:sz w:val="28"/>
        </w:rPr>
      </w:pPr>
      <w:r>
        <w:rPr>
          <w:sz w:val="28"/>
        </w:rPr>
      </w:r>
    </w:p>
    <w:p>
      <w:pPr>
        <w:pStyle w:val="Normal"/>
        <w:jc w:val="both"/>
        <w:rPr>
          <w:sz w:val="28"/>
        </w:rPr>
      </w:pPr>
      <w:r>
        <w:rPr>
          <w:sz w:val="28"/>
        </w:rPr>
        <w:tab/>
        <w:t>Good luck and happy hunting to all of you.</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David Gitlitz, Managing Director</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www.kudlow.com</w:t>
            </w:r>
          </w:p>
        </w:tc>
      </w:tr>
    </w:tbl>
    <w:p>
      <w:pPr>
        <w:pStyle w:val="BodyText"/>
        <w:spacing w:lineRule="auto" w:line="240"/>
        <w:jc w:val="both"/>
        <w:rPr/>
      </w:pPr>
      <w:r>
        <w:rPr/>
      </w:r>
    </w:p>
    <w:sectPr>
      <w:footerReference w:type="default" r:id="rId4"/>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2001-09-05T17:02:00Z</dcterms:created>
  <dc:creator>Susan Varga</dc:creator>
  <dc:description/>
  <dc:language>en-CA</dc:language>
  <cp:lastModifiedBy>svarga</cp:lastModifiedBy>
  <cp:lastPrinted>2001-09-05T16:02:00Z</cp:lastPrinted>
  <dcterms:modified xsi:type="dcterms:W3CDTF">2001-09-05T17:36:00Z</dcterms:modified>
  <cp:revision>7</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