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ustryBanner"/>
        <w:rPr/>
      </w:pPr>
      <w:r>
        <w:rPr/>
        <w:t>Kudlow's Commentary</w:t>
      </w:r>
    </w:p>
    <w:p>
      <w:pPr>
        <w:pStyle w:val="TitleBanner"/>
        <w:spacing w:lineRule="exact" w:line="240"/>
        <w:rPr/>
      </w:pPr>
      <w:r>
        <w:rPr/>
      </w:r>
      <w:bookmarkStart w:id="0" w:name="AddTicker"/>
      <w:bookmarkStart w:id="1" w:name="AddTicker"/>
      <w:bookmarkEnd w:id="1"/>
    </w:p>
    <w:p>
      <w:pPr>
        <w:pStyle w:val="TitleBanner"/>
        <w:rPr>
          <w:b/>
          <w:bCs/>
          <w:sz w:val="36"/>
          <w:szCs w:val="36"/>
        </w:rPr>
      </w:pPr>
      <w:bookmarkStart w:id="2" w:name="AddTitle"/>
      <w:bookmarkEnd w:id="2"/>
      <w:r>
        <w:rPr>
          <w:b/>
          <w:bCs/>
          <w:sz w:val="36"/>
          <w:szCs w:val="36"/>
        </w:rPr>
        <w:t>Some Good News, After All</w:t>
      </w:r>
    </w:p>
    <w:p>
      <w:pPr>
        <w:pStyle w:val="Heading4"/>
        <w:ind w:hanging="0" w:start="0"/>
        <w:rPr>
          <w:sz w:val="28"/>
          <w:szCs w:val="28"/>
        </w:rPr>
      </w:pPr>
      <w:r>
        <w:rPr>
          <w:sz w:val="28"/>
          <w:szCs w:val="28"/>
        </w:rPr>
        <w:t>By Lawrence Kudlow and David Gitlitz</w:t>
      </w:r>
    </w:p>
    <w:p>
      <w:pPr>
        <w:pStyle w:val="Normal"/>
        <w:pBdr>
          <w:bottom w:val="double" w:sz="6" w:space="1" w:color="000000"/>
        </w:pBdr>
        <w:tabs>
          <w:tab w:val="clear" w:pos="720"/>
          <w:tab w:val="right" w:pos="5587" w:leader="none"/>
          <w:tab w:val="right" w:pos="9360" w:leader="none"/>
        </w:tabs>
        <w:spacing w:lineRule="exact" w:line="200"/>
        <w:rPr>
          <w:rStyle w:val="Date1"/>
          <w:sz w:val="28"/>
          <w:szCs w:val="28"/>
        </w:rPr>
      </w:pPr>
      <w:r>
        <w:rPr>
          <w:sz w:val="28"/>
          <w:szCs w:val="28"/>
        </w:rPr>
      </w:r>
    </w:p>
    <w:p>
      <w:pPr>
        <w:pStyle w:val="Normal"/>
        <w:pBdr>
          <w:bottom w:val="double" w:sz="6" w:space="1" w:color="000000"/>
        </w:pBdr>
        <w:tabs>
          <w:tab w:val="clear" w:pos="720"/>
          <w:tab w:val="right" w:pos="5328" w:leader="none"/>
          <w:tab w:val="right" w:pos="9504" w:leader="none"/>
        </w:tabs>
        <w:rPr/>
      </w:pPr>
      <w:r>
        <w:rPr>
          <w:rStyle w:val="Date1"/>
        </w:rPr>
        <w:t>June 1, 2001</w:t>
      </w:r>
      <w:r>
        <w:fldChar w:fldCharType="begin">
          <w:ffData>
            <w:name w:val="GetDate"/>
            <w:enabled/>
            <w:calcOnExit w:val="0"/>
            <w:textInput/>
          </w:ffData>
        </w:fldChar>
      </w:r>
      <w:r>
        <w:rPr/>
        <w:instrText xml:space="preserve"> FORMTEXT </w:instrText>
      </w:r>
      <w:bookmarkStart w:id="3" w:name="AddDate"/>
      <w:bookmarkStart w:id="4" w:name="GetDate_Copy_1"/>
      <w:bookmarkEnd w:id="4"/>
      <w:r>
        <w:rPr/>
      </w:r>
      <w:r>
        <w:rPr/>
        <w:fldChar w:fldCharType="separate"/>
      </w:r>
      <w:r>
        <w:rPr/>
        <w:t xml:space="preserve">     </w:t>
      </w:r>
      <w:r>
        <w:rPr/>
      </w:r>
      <w:r>
        <w:rPr/>
        <w:fldChar w:fldCharType="end"/>
      </w:r>
      <w:bookmarkEnd w:id="3"/>
      <w:r>
        <w:rPr/>
        <w:t xml:space="preserve">  </w:t>
        <w:tab/>
      </w:r>
      <w:r>
        <w:fldChar w:fldCharType="begin">
          <w:ffData>
            <w:name w:val="AddAnalyst1"/>
            <w:enabled/>
            <w:calcOnExit w:val="0"/>
            <w:textInput/>
          </w:ffData>
        </w:fldChar>
      </w:r>
      <w:r>
        <w:rPr/>
        <w:instrText xml:space="preserve"> FORMTEXT </w:instrText>
      </w:r>
      <w:r>
        <w:rPr/>
      </w:r>
      <w:r>
        <w:rPr/>
        <w:fldChar w:fldCharType="separate"/>
      </w:r>
      <w:r>
        <w:rPr/>
        <w:t xml:space="preserve">     </w:t>
      </w:r>
      <w:r>
        <w:rPr/>
      </w:r>
      <w:r>
        <w:rPr/>
        <w:fldChar w:fldCharType="end"/>
      </w:r>
      <w:r>
        <w:rPr/>
        <w:tab/>
      </w:r>
      <w:r>
        <w:rPr>
          <w:rStyle w:val="Analyst"/>
        </w:rPr>
        <w:t>Kudlow &amp; Co., LLC (212) 644-8610</w:t>
      </w:r>
      <w:r>
        <w:rPr>
          <w:i/>
          <w:iCs/>
        </w:rPr>
        <w:t xml:space="preserve"> </w:t>
      </w:r>
      <w:bookmarkStart w:id="5" w:name="AddBullet"/>
      <w:bookmarkStart w:id="6" w:name="AddModel"/>
      <w:bookmarkEnd w:id="5"/>
      <w:bookmarkEnd w:id="6"/>
    </w:p>
    <w:p>
      <w:pPr>
        <w:pStyle w:val="Normal"/>
        <w:ind w:firstLine="720" w:end="0"/>
        <w:jc w:val="both"/>
        <w:rPr>
          <w:sz w:val="28"/>
          <w:szCs w:val="28"/>
        </w:rPr>
      </w:pPr>
      <w:r>
        <w:rPr>
          <w:sz w:val="28"/>
          <w:szCs w:val="28"/>
        </w:rPr>
      </w:r>
    </w:p>
    <w:p>
      <w:pPr>
        <w:pStyle w:val="Normal"/>
        <w:ind w:firstLine="720" w:end="0"/>
        <w:jc w:val="both"/>
        <w:rPr>
          <w:sz w:val="24"/>
          <w:szCs w:val="24"/>
        </w:rPr>
      </w:pPr>
      <w:r>
        <w:rPr>
          <w:sz w:val="24"/>
          <w:szCs w:val="24"/>
        </w:rPr>
        <w:t>The new tax bill is catching a lot of flack from purists bemoaning the paltry size and glacial phase-in of the rate cuts. No question, an ideal package would have cut marginal rates deeper and faster than the bipartisan legislation now awaiting President Bush’s signature. It also would certainly have included action on capital gains to help reenergize the market’s risk-taking spirits.</w:t>
      </w:r>
    </w:p>
    <w:p>
      <w:pPr>
        <w:pStyle w:val="Normal"/>
        <w:jc w:val="both"/>
        <w:rPr>
          <w:sz w:val="24"/>
          <w:szCs w:val="24"/>
        </w:rPr>
      </w:pPr>
      <w:r>
        <w:rPr>
          <w:sz w:val="24"/>
          <w:szCs w:val="24"/>
        </w:rPr>
      </w:r>
    </w:p>
    <w:p>
      <w:pPr>
        <w:pStyle w:val="Normal"/>
        <w:ind w:firstLine="720" w:end="0"/>
        <w:jc w:val="both"/>
        <w:rPr>
          <w:sz w:val="24"/>
          <w:szCs w:val="24"/>
        </w:rPr>
      </w:pPr>
      <w:r>
        <w:rPr>
          <w:sz w:val="24"/>
          <w:szCs w:val="24"/>
        </w:rPr>
        <w:t>But given the political realities under which this administration entered office in January, accentuated now by the Senate’s pending flip to Democratic control, enactment of the tax cuts  – however imperfect – should be seen as a signal achievement. Had Vermont Senator James Jefford’s defection from the ranks of the GOP come even a month ago, this tax bill in all likelihood would have never seen the light of day.</w:t>
      </w:r>
    </w:p>
    <w:p>
      <w:pPr>
        <w:pStyle w:val="Normal"/>
        <w:ind w:firstLine="720" w:end="0"/>
        <w:jc w:val="center"/>
        <w:rPr>
          <w:sz w:val="24"/>
          <w:szCs w:val="24"/>
        </w:rPr>
      </w:pPr>
      <w:r>
        <w:rPr>
          <w:sz w:val="24"/>
          <w:szCs w:val="24"/>
        </w:rPr>
      </w:r>
    </w:p>
    <w:p>
      <w:pPr>
        <w:pStyle w:val="Heading2"/>
        <w:ind w:hanging="0" w:start="0"/>
        <w:rPr>
          <w:b/>
          <w:bCs/>
        </w:rPr>
      </w:pPr>
      <w:r>
        <w:rPr>
          <w:b/>
          <w:bCs/>
        </w:rPr>
        <w:t>Marginal Rate Reductions</w:t>
      </w:r>
    </w:p>
    <w:p>
      <w:pPr>
        <w:pStyle w:val="Normal"/>
        <w:rPr/>
      </w:pPr>
      <w:r>
        <w:rPr/>
      </w:r>
      <w:r>
        <mc:AlternateContent>
          <mc:Choice Requires="wps">
            <w:drawing>
              <wp:anchor behindDoc="0" distT="0" distB="0" distL="114300" distR="114300" simplePos="0" locked="0" layoutInCell="0" allowOverlap="1" relativeHeight="2">
                <wp:simplePos x="0" y="0"/>
                <wp:positionH relativeFrom="margin">
                  <wp:align>center</wp:align>
                </wp:positionH>
                <wp:positionV relativeFrom="page">
                  <wp:posOffset>4689475</wp:posOffset>
                </wp:positionV>
                <wp:extent cx="4411980" cy="948690"/>
                <wp:effectExtent l="0" t="0" r="0" b="0"/>
                <wp:wrapSquare wrapText="bothSides"/>
                <wp:docPr id="1" name="Frame1"/>
                <a:graphic xmlns:a="http://schemas.openxmlformats.org/drawingml/2006/main">
                  <a:graphicData uri="http://schemas.microsoft.com/office/word/2010/wordprocessingShape">
                    <wps:wsp>
                      <wps:cNvSpPr txBox="1"/>
                      <wps:spPr>
                        <a:xfrm>
                          <a:off x="0" y="0"/>
                          <a:ext cx="4411980" cy="948690"/>
                        </a:xfrm>
                        <a:prstGeom prst="rect"/>
                        <a:solidFill>
                          <a:srgbClr val="FFFFFF">
                            <a:alpha val="0"/>
                          </a:srgbClr>
                        </a:solidFill>
                      </wps:spPr>
                      <wps:txbx>
                        <w:txbxContent>
                          <w:tbl>
                            <w:tblPr>
                              <w:tblW w:w="6948" w:type="dxa"/>
                              <w:jc w:val="start"/>
                              <w:tblInd w:w="108" w:type="dxa"/>
                              <w:tblLayout w:type="fixed"/>
                              <w:tblCellMar>
                                <w:top w:w="0" w:type="dxa"/>
                                <w:start w:w="108" w:type="dxa"/>
                                <w:bottom w:w="0" w:type="dxa"/>
                                <w:end w:w="108" w:type="dxa"/>
                              </w:tblCellMar>
                            </w:tblPr>
                            <w:tblGrid>
                              <w:gridCol w:w="1679"/>
                              <w:gridCol w:w="1309"/>
                              <w:gridCol w:w="1260"/>
                              <w:gridCol w:w="1260"/>
                              <w:gridCol w:w="1440"/>
                            </w:tblGrid>
                            <w:tr>
                              <w:trPr>
                                <w:trHeight w:val="530" w:hRule="atLeast"/>
                              </w:trPr>
                              <w:tc>
                                <w:tcPr>
                                  <w:tcW w:w="1679" w:type="dxa"/>
                                  <w:tcBorders>
                                    <w:top w:val="single" w:sz="6" w:space="0" w:color="000000"/>
                                    <w:start w:val="single" w:sz="6" w:space="0" w:color="000000"/>
                                  </w:tcBorders>
                                </w:tcPr>
                                <w:p>
                                  <w:pPr>
                                    <w:pStyle w:val="Normal"/>
                                    <w:rPr/>
                                  </w:pPr>
                                  <w:r>
                                    <w:rPr>
                                      <w:b/>
                                      <w:bCs/>
                                    </w:rPr>
                                    <w:t>YEAR</w:t>
                                  </w:r>
                                  <w:r>
                                    <w:rPr/>
                                    <w:t>:</w:t>
                                  </w:r>
                                </w:p>
                              </w:tc>
                              <w:tc>
                                <w:tcPr>
                                  <w:tcW w:w="1309" w:type="dxa"/>
                                  <w:tcBorders>
                                    <w:top w:val="single" w:sz="6" w:space="0" w:color="000000"/>
                                  </w:tcBorders>
                                </w:tcPr>
                                <w:p>
                                  <w:pPr>
                                    <w:pStyle w:val="Normal"/>
                                    <w:rPr/>
                                  </w:pPr>
                                  <w:r>
                                    <w:rPr>
                                      <w:b/>
                                      <w:bCs/>
                                    </w:rPr>
                                    <w:t>28% rate goes to</w:t>
                                  </w:r>
                                  <w:r>
                                    <w:rPr/>
                                    <w:t>:</w:t>
                                  </w:r>
                                </w:p>
                              </w:tc>
                              <w:tc>
                                <w:tcPr>
                                  <w:tcW w:w="1260" w:type="dxa"/>
                                  <w:tcBorders>
                                    <w:top w:val="single" w:sz="6" w:space="0" w:color="000000"/>
                                  </w:tcBorders>
                                </w:tcPr>
                                <w:p>
                                  <w:pPr>
                                    <w:pStyle w:val="Normal"/>
                                    <w:rPr>
                                      <w:b/>
                                      <w:bCs/>
                                    </w:rPr>
                                  </w:pPr>
                                  <w:r>
                                    <w:rPr>
                                      <w:b/>
                                      <w:bCs/>
                                    </w:rPr>
                                    <w:t>31% rate goes to:</w:t>
                                  </w:r>
                                </w:p>
                              </w:tc>
                              <w:tc>
                                <w:tcPr>
                                  <w:tcW w:w="1260" w:type="dxa"/>
                                  <w:tcBorders>
                                    <w:top w:val="single" w:sz="6" w:space="0" w:color="000000"/>
                                  </w:tcBorders>
                                </w:tcPr>
                                <w:p>
                                  <w:pPr>
                                    <w:pStyle w:val="Normal"/>
                                    <w:rPr>
                                      <w:b/>
                                      <w:bCs/>
                                    </w:rPr>
                                  </w:pPr>
                                  <w:r>
                                    <w:rPr>
                                      <w:b/>
                                      <w:bCs/>
                                    </w:rPr>
                                    <w:t>36% rate goes to:</w:t>
                                  </w:r>
                                </w:p>
                              </w:tc>
                              <w:tc>
                                <w:tcPr>
                                  <w:tcW w:w="1440" w:type="dxa"/>
                                  <w:tcBorders>
                                    <w:top w:val="single" w:sz="6" w:space="0" w:color="000000"/>
                                    <w:end w:val="single" w:sz="6" w:space="0" w:color="000000"/>
                                  </w:tcBorders>
                                </w:tcPr>
                                <w:p>
                                  <w:pPr>
                                    <w:pStyle w:val="Normal"/>
                                    <w:rPr>
                                      <w:b/>
                                      <w:bCs/>
                                    </w:rPr>
                                  </w:pPr>
                                  <w:r>
                                    <w:rPr>
                                      <w:b/>
                                      <w:bCs/>
                                    </w:rPr>
                                    <w:t>39.6% rate goes to:</w:t>
                                  </w:r>
                                </w:p>
                              </w:tc>
                            </w:tr>
                            <w:tr>
                              <w:trPr>
                                <w:trHeight w:val="229" w:hRule="atLeast"/>
                              </w:trPr>
                              <w:tc>
                                <w:tcPr>
                                  <w:tcW w:w="1679" w:type="dxa"/>
                                  <w:tcBorders>
                                    <w:start w:val="single" w:sz="6" w:space="0" w:color="000000"/>
                                  </w:tcBorders>
                                </w:tcPr>
                                <w:p>
                                  <w:pPr>
                                    <w:pStyle w:val="Normal"/>
                                    <w:spacing w:lineRule="atLeast" w:line="229"/>
                                    <w:rPr/>
                                  </w:pPr>
                                  <w:r>
                                    <w:rPr/>
                                    <w:t>2001</w:t>
                                  </w:r>
                                </w:p>
                              </w:tc>
                              <w:tc>
                                <w:tcPr>
                                  <w:tcW w:w="1309" w:type="dxa"/>
                                  <w:tcBorders/>
                                </w:tcPr>
                                <w:p>
                                  <w:pPr>
                                    <w:pStyle w:val="Normal"/>
                                    <w:spacing w:lineRule="atLeast" w:line="229"/>
                                    <w:rPr/>
                                  </w:pPr>
                                  <w:r>
                                    <w:rPr/>
                                    <w:t>27.5%</w:t>
                                  </w:r>
                                </w:p>
                              </w:tc>
                              <w:tc>
                                <w:tcPr>
                                  <w:tcW w:w="1260" w:type="dxa"/>
                                  <w:tcBorders/>
                                </w:tcPr>
                                <w:p>
                                  <w:pPr>
                                    <w:pStyle w:val="Normal"/>
                                    <w:spacing w:lineRule="atLeast" w:line="229"/>
                                    <w:rPr/>
                                  </w:pPr>
                                  <w:r>
                                    <w:rPr/>
                                    <w:t>30.5%</w:t>
                                  </w:r>
                                </w:p>
                              </w:tc>
                              <w:tc>
                                <w:tcPr>
                                  <w:tcW w:w="1260" w:type="dxa"/>
                                  <w:tcBorders/>
                                </w:tcPr>
                                <w:p>
                                  <w:pPr>
                                    <w:pStyle w:val="Normal"/>
                                    <w:spacing w:lineRule="atLeast" w:line="229"/>
                                    <w:rPr/>
                                  </w:pPr>
                                  <w:r>
                                    <w:rPr/>
                                    <w:t>35.5%</w:t>
                                  </w:r>
                                </w:p>
                              </w:tc>
                              <w:tc>
                                <w:tcPr>
                                  <w:tcW w:w="1440" w:type="dxa"/>
                                  <w:tcBorders>
                                    <w:end w:val="single" w:sz="6" w:space="0" w:color="000000"/>
                                  </w:tcBorders>
                                </w:tcPr>
                                <w:p>
                                  <w:pPr>
                                    <w:pStyle w:val="Normal"/>
                                    <w:spacing w:lineRule="atLeast" w:line="229"/>
                                    <w:rPr/>
                                  </w:pPr>
                                  <w:r>
                                    <w:rPr/>
                                    <w:t>39.1%</w:t>
                                  </w:r>
                                </w:p>
                              </w:tc>
                            </w:tr>
                            <w:tr>
                              <w:trPr>
                                <w:trHeight w:val="241" w:hRule="atLeast"/>
                              </w:trPr>
                              <w:tc>
                                <w:tcPr>
                                  <w:tcW w:w="1679" w:type="dxa"/>
                                  <w:tcBorders>
                                    <w:start w:val="single" w:sz="6" w:space="0" w:color="000000"/>
                                  </w:tcBorders>
                                </w:tcPr>
                                <w:p>
                                  <w:pPr>
                                    <w:pStyle w:val="Normal"/>
                                    <w:rPr/>
                                  </w:pPr>
                                  <w:r>
                                    <w:rPr/>
                                    <w:t>2002-2003</w:t>
                                  </w:r>
                                </w:p>
                              </w:tc>
                              <w:tc>
                                <w:tcPr>
                                  <w:tcW w:w="1309" w:type="dxa"/>
                                  <w:tcBorders/>
                                </w:tcPr>
                                <w:p>
                                  <w:pPr>
                                    <w:pStyle w:val="Normal"/>
                                    <w:rPr/>
                                  </w:pPr>
                                  <w:r>
                                    <w:rPr/>
                                    <w:t>27%</w:t>
                                  </w:r>
                                </w:p>
                              </w:tc>
                              <w:tc>
                                <w:tcPr>
                                  <w:tcW w:w="1260" w:type="dxa"/>
                                  <w:tcBorders/>
                                </w:tcPr>
                                <w:p>
                                  <w:pPr>
                                    <w:pStyle w:val="Normal"/>
                                    <w:rPr/>
                                  </w:pPr>
                                  <w:r>
                                    <w:rPr/>
                                    <w:t>30%</w:t>
                                  </w:r>
                                </w:p>
                              </w:tc>
                              <w:tc>
                                <w:tcPr>
                                  <w:tcW w:w="1260" w:type="dxa"/>
                                  <w:tcBorders/>
                                </w:tcPr>
                                <w:p>
                                  <w:pPr>
                                    <w:pStyle w:val="Normal"/>
                                    <w:rPr/>
                                  </w:pPr>
                                  <w:r>
                                    <w:rPr/>
                                    <w:t>35%</w:t>
                                  </w:r>
                                </w:p>
                              </w:tc>
                              <w:tc>
                                <w:tcPr>
                                  <w:tcW w:w="1440" w:type="dxa"/>
                                  <w:tcBorders>
                                    <w:end w:val="single" w:sz="6" w:space="0" w:color="000000"/>
                                  </w:tcBorders>
                                </w:tcPr>
                                <w:p>
                                  <w:pPr>
                                    <w:pStyle w:val="Normal"/>
                                    <w:rPr/>
                                  </w:pPr>
                                  <w:r>
                                    <w:rPr/>
                                    <w:t>38.6%</w:t>
                                  </w:r>
                                </w:p>
                              </w:tc>
                            </w:tr>
                            <w:tr>
                              <w:trPr>
                                <w:trHeight w:val="229" w:hRule="atLeast"/>
                              </w:trPr>
                              <w:tc>
                                <w:tcPr>
                                  <w:tcW w:w="1679" w:type="dxa"/>
                                  <w:tcBorders>
                                    <w:start w:val="single" w:sz="6" w:space="0" w:color="000000"/>
                                  </w:tcBorders>
                                </w:tcPr>
                                <w:p>
                                  <w:pPr>
                                    <w:pStyle w:val="Normal"/>
                                    <w:spacing w:lineRule="atLeast" w:line="229"/>
                                    <w:rPr/>
                                  </w:pPr>
                                  <w:r>
                                    <w:rPr/>
                                    <w:t>2004-2005</w:t>
                                  </w:r>
                                </w:p>
                              </w:tc>
                              <w:tc>
                                <w:tcPr>
                                  <w:tcW w:w="1309" w:type="dxa"/>
                                  <w:tcBorders/>
                                </w:tcPr>
                                <w:p>
                                  <w:pPr>
                                    <w:pStyle w:val="Normal"/>
                                    <w:spacing w:lineRule="atLeast" w:line="229"/>
                                    <w:rPr/>
                                  </w:pPr>
                                  <w:r>
                                    <w:rPr/>
                                    <w:t>26%</w:t>
                                  </w:r>
                                </w:p>
                              </w:tc>
                              <w:tc>
                                <w:tcPr>
                                  <w:tcW w:w="1260" w:type="dxa"/>
                                  <w:tcBorders/>
                                </w:tcPr>
                                <w:p>
                                  <w:pPr>
                                    <w:pStyle w:val="Normal"/>
                                    <w:spacing w:lineRule="atLeast" w:line="229"/>
                                    <w:rPr/>
                                  </w:pPr>
                                  <w:r>
                                    <w:rPr/>
                                    <w:t>29%</w:t>
                                  </w:r>
                                </w:p>
                              </w:tc>
                              <w:tc>
                                <w:tcPr>
                                  <w:tcW w:w="1260" w:type="dxa"/>
                                  <w:tcBorders/>
                                </w:tcPr>
                                <w:p>
                                  <w:pPr>
                                    <w:pStyle w:val="Normal"/>
                                    <w:spacing w:lineRule="atLeast" w:line="229"/>
                                    <w:rPr/>
                                  </w:pPr>
                                  <w:r>
                                    <w:rPr/>
                                    <w:t>34%</w:t>
                                  </w:r>
                                </w:p>
                              </w:tc>
                              <w:tc>
                                <w:tcPr>
                                  <w:tcW w:w="1440" w:type="dxa"/>
                                  <w:tcBorders>
                                    <w:end w:val="single" w:sz="6" w:space="0" w:color="000000"/>
                                  </w:tcBorders>
                                </w:tcPr>
                                <w:p>
                                  <w:pPr>
                                    <w:pStyle w:val="Normal"/>
                                    <w:spacing w:lineRule="atLeast" w:line="229"/>
                                    <w:rPr/>
                                  </w:pPr>
                                  <w:r>
                                    <w:rPr/>
                                    <w:t>37.6%</w:t>
                                  </w:r>
                                </w:p>
                              </w:tc>
                            </w:tr>
                            <w:tr>
                              <w:trPr>
                                <w:trHeight w:val="229" w:hRule="atLeast"/>
                              </w:trPr>
                              <w:tc>
                                <w:tcPr>
                                  <w:tcW w:w="1679" w:type="dxa"/>
                                  <w:tcBorders>
                                    <w:start w:val="single" w:sz="6" w:space="0" w:color="000000"/>
                                    <w:bottom w:val="single" w:sz="6" w:space="0" w:color="000000"/>
                                  </w:tcBorders>
                                </w:tcPr>
                                <w:p>
                                  <w:pPr>
                                    <w:pStyle w:val="Normal"/>
                                    <w:spacing w:lineRule="atLeast" w:line="229"/>
                                    <w:rPr/>
                                  </w:pPr>
                                  <w:r>
                                    <w:rPr/>
                                    <w:t>2006 and after</w:t>
                                  </w:r>
                                </w:p>
                              </w:tc>
                              <w:tc>
                                <w:tcPr>
                                  <w:tcW w:w="1309" w:type="dxa"/>
                                  <w:tcBorders>
                                    <w:bottom w:val="single" w:sz="6" w:space="0" w:color="000000"/>
                                  </w:tcBorders>
                                </w:tcPr>
                                <w:p>
                                  <w:pPr>
                                    <w:pStyle w:val="Normal"/>
                                    <w:spacing w:lineRule="atLeast" w:line="229"/>
                                    <w:rPr/>
                                  </w:pPr>
                                  <w:r>
                                    <w:rPr/>
                                    <w:t>25%</w:t>
                                  </w:r>
                                </w:p>
                              </w:tc>
                              <w:tc>
                                <w:tcPr>
                                  <w:tcW w:w="1260" w:type="dxa"/>
                                  <w:tcBorders>
                                    <w:bottom w:val="single" w:sz="6" w:space="0" w:color="000000"/>
                                  </w:tcBorders>
                                </w:tcPr>
                                <w:p>
                                  <w:pPr>
                                    <w:pStyle w:val="Normal"/>
                                    <w:spacing w:lineRule="atLeast" w:line="229"/>
                                    <w:rPr/>
                                  </w:pPr>
                                  <w:r>
                                    <w:rPr/>
                                    <w:t>28%</w:t>
                                  </w:r>
                                </w:p>
                              </w:tc>
                              <w:tc>
                                <w:tcPr>
                                  <w:tcW w:w="1260" w:type="dxa"/>
                                  <w:tcBorders>
                                    <w:bottom w:val="single" w:sz="6" w:space="0" w:color="000000"/>
                                  </w:tcBorders>
                                </w:tcPr>
                                <w:p>
                                  <w:pPr>
                                    <w:pStyle w:val="Normal"/>
                                    <w:spacing w:lineRule="atLeast" w:line="229"/>
                                    <w:rPr/>
                                  </w:pPr>
                                  <w:r>
                                    <w:rPr/>
                                    <w:t>33%</w:t>
                                  </w:r>
                                </w:p>
                              </w:tc>
                              <w:tc>
                                <w:tcPr>
                                  <w:tcW w:w="1440" w:type="dxa"/>
                                  <w:tcBorders>
                                    <w:bottom w:val="single" w:sz="6" w:space="0" w:color="000000"/>
                                    <w:end w:val="single" w:sz="6" w:space="0" w:color="000000"/>
                                  </w:tcBorders>
                                </w:tcPr>
                                <w:p>
                                  <w:pPr>
                                    <w:pStyle w:val="Normal"/>
                                    <w:spacing w:lineRule="atLeast" w:line="229"/>
                                    <w:rPr/>
                                  </w:pPr>
                                  <w:r>
                                    <w:rPr/>
                                    <w:t>35%</w:t>
                                  </w:r>
                                </w:p>
                              </w:tc>
                            </w:tr>
                          </w:tbl>
                        </w:txbxContent>
                      </wps:txbx>
                      <wps:bodyPr anchor="t" lIns="0" tIns="0" rIns="0" bIns="0">
                        <a:noAutofit/>
                      </wps:bodyPr>
                    </wps:wsp>
                  </a:graphicData>
                </a:graphic>
              </wp:anchor>
            </w:drawing>
          </mc:Choice>
          <mc:Fallback>
            <w:pict>
              <v:rect fillcolor="#FFFFFF" style="position:absolute;rotation:-0;width:347.4pt;height:74.7pt;mso-wrap-distance-left:9pt;mso-wrap-distance-right:9pt;mso-wrap-distance-top:0pt;mso-wrap-distance-bottom:0pt;margin-top:369.25pt;mso-position-vertical-relative:page;margin-left:63.9pt;mso-position-horizontal:center;mso-position-horizontal-relative:margin">
                <v:fill opacity="0f"/>
                <v:textbox inset="0in,0in,0in,0in">
                  <w:txbxContent>
                    <w:tbl>
                      <w:tblPr>
                        <w:tblW w:w="6948" w:type="dxa"/>
                        <w:jc w:val="start"/>
                        <w:tblInd w:w="108" w:type="dxa"/>
                        <w:tblLayout w:type="fixed"/>
                        <w:tblCellMar>
                          <w:top w:w="0" w:type="dxa"/>
                          <w:start w:w="108" w:type="dxa"/>
                          <w:bottom w:w="0" w:type="dxa"/>
                          <w:end w:w="108" w:type="dxa"/>
                        </w:tblCellMar>
                      </w:tblPr>
                      <w:tblGrid>
                        <w:gridCol w:w="1679"/>
                        <w:gridCol w:w="1309"/>
                        <w:gridCol w:w="1260"/>
                        <w:gridCol w:w="1260"/>
                        <w:gridCol w:w="1440"/>
                      </w:tblGrid>
                      <w:tr>
                        <w:trPr>
                          <w:trHeight w:val="530" w:hRule="atLeast"/>
                        </w:trPr>
                        <w:tc>
                          <w:tcPr>
                            <w:tcW w:w="1679" w:type="dxa"/>
                            <w:tcBorders>
                              <w:top w:val="single" w:sz="6" w:space="0" w:color="000000"/>
                              <w:start w:val="single" w:sz="6" w:space="0" w:color="000000"/>
                            </w:tcBorders>
                          </w:tcPr>
                          <w:p>
                            <w:pPr>
                              <w:pStyle w:val="Normal"/>
                              <w:rPr/>
                            </w:pPr>
                            <w:r>
                              <w:rPr>
                                <w:b/>
                                <w:bCs/>
                              </w:rPr>
                              <w:t>YEAR</w:t>
                            </w:r>
                            <w:r>
                              <w:rPr/>
                              <w:t>:</w:t>
                            </w:r>
                          </w:p>
                        </w:tc>
                        <w:tc>
                          <w:tcPr>
                            <w:tcW w:w="1309" w:type="dxa"/>
                            <w:tcBorders>
                              <w:top w:val="single" w:sz="6" w:space="0" w:color="000000"/>
                            </w:tcBorders>
                          </w:tcPr>
                          <w:p>
                            <w:pPr>
                              <w:pStyle w:val="Normal"/>
                              <w:rPr/>
                            </w:pPr>
                            <w:r>
                              <w:rPr>
                                <w:b/>
                                <w:bCs/>
                              </w:rPr>
                              <w:t>28% rate goes to</w:t>
                            </w:r>
                            <w:r>
                              <w:rPr/>
                              <w:t>:</w:t>
                            </w:r>
                          </w:p>
                        </w:tc>
                        <w:tc>
                          <w:tcPr>
                            <w:tcW w:w="1260" w:type="dxa"/>
                            <w:tcBorders>
                              <w:top w:val="single" w:sz="6" w:space="0" w:color="000000"/>
                            </w:tcBorders>
                          </w:tcPr>
                          <w:p>
                            <w:pPr>
                              <w:pStyle w:val="Normal"/>
                              <w:rPr>
                                <w:b/>
                                <w:bCs/>
                              </w:rPr>
                            </w:pPr>
                            <w:r>
                              <w:rPr>
                                <w:b/>
                                <w:bCs/>
                              </w:rPr>
                              <w:t>31% rate goes to:</w:t>
                            </w:r>
                          </w:p>
                        </w:tc>
                        <w:tc>
                          <w:tcPr>
                            <w:tcW w:w="1260" w:type="dxa"/>
                            <w:tcBorders>
                              <w:top w:val="single" w:sz="6" w:space="0" w:color="000000"/>
                            </w:tcBorders>
                          </w:tcPr>
                          <w:p>
                            <w:pPr>
                              <w:pStyle w:val="Normal"/>
                              <w:rPr>
                                <w:b/>
                                <w:bCs/>
                              </w:rPr>
                            </w:pPr>
                            <w:r>
                              <w:rPr>
                                <w:b/>
                                <w:bCs/>
                              </w:rPr>
                              <w:t>36% rate goes to:</w:t>
                            </w:r>
                          </w:p>
                        </w:tc>
                        <w:tc>
                          <w:tcPr>
                            <w:tcW w:w="1440" w:type="dxa"/>
                            <w:tcBorders>
                              <w:top w:val="single" w:sz="6" w:space="0" w:color="000000"/>
                              <w:end w:val="single" w:sz="6" w:space="0" w:color="000000"/>
                            </w:tcBorders>
                          </w:tcPr>
                          <w:p>
                            <w:pPr>
                              <w:pStyle w:val="Normal"/>
                              <w:rPr>
                                <w:b/>
                                <w:bCs/>
                              </w:rPr>
                            </w:pPr>
                            <w:r>
                              <w:rPr>
                                <w:b/>
                                <w:bCs/>
                              </w:rPr>
                              <w:t>39.6% rate goes to:</w:t>
                            </w:r>
                          </w:p>
                        </w:tc>
                      </w:tr>
                      <w:tr>
                        <w:trPr>
                          <w:trHeight w:val="229" w:hRule="atLeast"/>
                        </w:trPr>
                        <w:tc>
                          <w:tcPr>
                            <w:tcW w:w="1679" w:type="dxa"/>
                            <w:tcBorders>
                              <w:start w:val="single" w:sz="6" w:space="0" w:color="000000"/>
                            </w:tcBorders>
                          </w:tcPr>
                          <w:p>
                            <w:pPr>
                              <w:pStyle w:val="Normal"/>
                              <w:spacing w:lineRule="atLeast" w:line="229"/>
                              <w:rPr/>
                            </w:pPr>
                            <w:r>
                              <w:rPr/>
                              <w:t>2001</w:t>
                            </w:r>
                          </w:p>
                        </w:tc>
                        <w:tc>
                          <w:tcPr>
                            <w:tcW w:w="1309" w:type="dxa"/>
                            <w:tcBorders/>
                          </w:tcPr>
                          <w:p>
                            <w:pPr>
                              <w:pStyle w:val="Normal"/>
                              <w:spacing w:lineRule="atLeast" w:line="229"/>
                              <w:rPr/>
                            </w:pPr>
                            <w:r>
                              <w:rPr/>
                              <w:t>27.5%</w:t>
                            </w:r>
                          </w:p>
                        </w:tc>
                        <w:tc>
                          <w:tcPr>
                            <w:tcW w:w="1260" w:type="dxa"/>
                            <w:tcBorders/>
                          </w:tcPr>
                          <w:p>
                            <w:pPr>
                              <w:pStyle w:val="Normal"/>
                              <w:spacing w:lineRule="atLeast" w:line="229"/>
                              <w:rPr/>
                            </w:pPr>
                            <w:r>
                              <w:rPr/>
                              <w:t>30.5%</w:t>
                            </w:r>
                          </w:p>
                        </w:tc>
                        <w:tc>
                          <w:tcPr>
                            <w:tcW w:w="1260" w:type="dxa"/>
                            <w:tcBorders/>
                          </w:tcPr>
                          <w:p>
                            <w:pPr>
                              <w:pStyle w:val="Normal"/>
                              <w:spacing w:lineRule="atLeast" w:line="229"/>
                              <w:rPr/>
                            </w:pPr>
                            <w:r>
                              <w:rPr/>
                              <w:t>35.5%</w:t>
                            </w:r>
                          </w:p>
                        </w:tc>
                        <w:tc>
                          <w:tcPr>
                            <w:tcW w:w="1440" w:type="dxa"/>
                            <w:tcBorders>
                              <w:end w:val="single" w:sz="6" w:space="0" w:color="000000"/>
                            </w:tcBorders>
                          </w:tcPr>
                          <w:p>
                            <w:pPr>
                              <w:pStyle w:val="Normal"/>
                              <w:spacing w:lineRule="atLeast" w:line="229"/>
                              <w:rPr/>
                            </w:pPr>
                            <w:r>
                              <w:rPr/>
                              <w:t>39.1%</w:t>
                            </w:r>
                          </w:p>
                        </w:tc>
                      </w:tr>
                      <w:tr>
                        <w:trPr>
                          <w:trHeight w:val="241" w:hRule="atLeast"/>
                        </w:trPr>
                        <w:tc>
                          <w:tcPr>
                            <w:tcW w:w="1679" w:type="dxa"/>
                            <w:tcBorders>
                              <w:start w:val="single" w:sz="6" w:space="0" w:color="000000"/>
                            </w:tcBorders>
                          </w:tcPr>
                          <w:p>
                            <w:pPr>
                              <w:pStyle w:val="Normal"/>
                              <w:rPr/>
                            </w:pPr>
                            <w:r>
                              <w:rPr/>
                              <w:t>2002-2003</w:t>
                            </w:r>
                          </w:p>
                        </w:tc>
                        <w:tc>
                          <w:tcPr>
                            <w:tcW w:w="1309" w:type="dxa"/>
                            <w:tcBorders/>
                          </w:tcPr>
                          <w:p>
                            <w:pPr>
                              <w:pStyle w:val="Normal"/>
                              <w:rPr/>
                            </w:pPr>
                            <w:r>
                              <w:rPr/>
                              <w:t>27%</w:t>
                            </w:r>
                          </w:p>
                        </w:tc>
                        <w:tc>
                          <w:tcPr>
                            <w:tcW w:w="1260" w:type="dxa"/>
                            <w:tcBorders/>
                          </w:tcPr>
                          <w:p>
                            <w:pPr>
                              <w:pStyle w:val="Normal"/>
                              <w:rPr/>
                            </w:pPr>
                            <w:r>
                              <w:rPr/>
                              <w:t>30%</w:t>
                            </w:r>
                          </w:p>
                        </w:tc>
                        <w:tc>
                          <w:tcPr>
                            <w:tcW w:w="1260" w:type="dxa"/>
                            <w:tcBorders/>
                          </w:tcPr>
                          <w:p>
                            <w:pPr>
                              <w:pStyle w:val="Normal"/>
                              <w:rPr/>
                            </w:pPr>
                            <w:r>
                              <w:rPr/>
                              <w:t>35%</w:t>
                            </w:r>
                          </w:p>
                        </w:tc>
                        <w:tc>
                          <w:tcPr>
                            <w:tcW w:w="1440" w:type="dxa"/>
                            <w:tcBorders>
                              <w:end w:val="single" w:sz="6" w:space="0" w:color="000000"/>
                            </w:tcBorders>
                          </w:tcPr>
                          <w:p>
                            <w:pPr>
                              <w:pStyle w:val="Normal"/>
                              <w:rPr/>
                            </w:pPr>
                            <w:r>
                              <w:rPr/>
                              <w:t>38.6%</w:t>
                            </w:r>
                          </w:p>
                        </w:tc>
                      </w:tr>
                      <w:tr>
                        <w:trPr>
                          <w:trHeight w:val="229" w:hRule="atLeast"/>
                        </w:trPr>
                        <w:tc>
                          <w:tcPr>
                            <w:tcW w:w="1679" w:type="dxa"/>
                            <w:tcBorders>
                              <w:start w:val="single" w:sz="6" w:space="0" w:color="000000"/>
                            </w:tcBorders>
                          </w:tcPr>
                          <w:p>
                            <w:pPr>
                              <w:pStyle w:val="Normal"/>
                              <w:spacing w:lineRule="atLeast" w:line="229"/>
                              <w:rPr/>
                            </w:pPr>
                            <w:r>
                              <w:rPr/>
                              <w:t>2004-2005</w:t>
                            </w:r>
                          </w:p>
                        </w:tc>
                        <w:tc>
                          <w:tcPr>
                            <w:tcW w:w="1309" w:type="dxa"/>
                            <w:tcBorders/>
                          </w:tcPr>
                          <w:p>
                            <w:pPr>
                              <w:pStyle w:val="Normal"/>
                              <w:spacing w:lineRule="atLeast" w:line="229"/>
                              <w:rPr/>
                            </w:pPr>
                            <w:r>
                              <w:rPr/>
                              <w:t>26%</w:t>
                            </w:r>
                          </w:p>
                        </w:tc>
                        <w:tc>
                          <w:tcPr>
                            <w:tcW w:w="1260" w:type="dxa"/>
                            <w:tcBorders/>
                          </w:tcPr>
                          <w:p>
                            <w:pPr>
                              <w:pStyle w:val="Normal"/>
                              <w:spacing w:lineRule="atLeast" w:line="229"/>
                              <w:rPr/>
                            </w:pPr>
                            <w:r>
                              <w:rPr/>
                              <w:t>29%</w:t>
                            </w:r>
                          </w:p>
                        </w:tc>
                        <w:tc>
                          <w:tcPr>
                            <w:tcW w:w="1260" w:type="dxa"/>
                            <w:tcBorders/>
                          </w:tcPr>
                          <w:p>
                            <w:pPr>
                              <w:pStyle w:val="Normal"/>
                              <w:spacing w:lineRule="atLeast" w:line="229"/>
                              <w:rPr/>
                            </w:pPr>
                            <w:r>
                              <w:rPr/>
                              <w:t>34%</w:t>
                            </w:r>
                          </w:p>
                        </w:tc>
                        <w:tc>
                          <w:tcPr>
                            <w:tcW w:w="1440" w:type="dxa"/>
                            <w:tcBorders>
                              <w:end w:val="single" w:sz="6" w:space="0" w:color="000000"/>
                            </w:tcBorders>
                          </w:tcPr>
                          <w:p>
                            <w:pPr>
                              <w:pStyle w:val="Normal"/>
                              <w:spacing w:lineRule="atLeast" w:line="229"/>
                              <w:rPr/>
                            </w:pPr>
                            <w:r>
                              <w:rPr/>
                              <w:t>37.6%</w:t>
                            </w:r>
                          </w:p>
                        </w:tc>
                      </w:tr>
                      <w:tr>
                        <w:trPr>
                          <w:trHeight w:val="229" w:hRule="atLeast"/>
                        </w:trPr>
                        <w:tc>
                          <w:tcPr>
                            <w:tcW w:w="1679" w:type="dxa"/>
                            <w:tcBorders>
                              <w:start w:val="single" w:sz="6" w:space="0" w:color="000000"/>
                              <w:bottom w:val="single" w:sz="6" w:space="0" w:color="000000"/>
                            </w:tcBorders>
                          </w:tcPr>
                          <w:p>
                            <w:pPr>
                              <w:pStyle w:val="Normal"/>
                              <w:spacing w:lineRule="atLeast" w:line="229"/>
                              <w:rPr/>
                            </w:pPr>
                            <w:r>
                              <w:rPr/>
                              <w:t>2006 and after</w:t>
                            </w:r>
                          </w:p>
                        </w:tc>
                        <w:tc>
                          <w:tcPr>
                            <w:tcW w:w="1309" w:type="dxa"/>
                            <w:tcBorders>
                              <w:bottom w:val="single" w:sz="6" w:space="0" w:color="000000"/>
                            </w:tcBorders>
                          </w:tcPr>
                          <w:p>
                            <w:pPr>
                              <w:pStyle w:val="Normal"/>
                              <w:spacing w:lineRule="atLeast" w:line="229"/>
                              <w:rPr/>
                            </w:pPr>
                            <w:r>
                              <w:rPr/>
                              <w:t>25%</w:t>
                            </w:r>
                          </w:p>
                        </w:tc>
                        <w:tc>
                          <w:tcPr>
                            <w:tcW w:w="1260" w:type="dxa"/>
                            <w:tcBorders>
                              <w:bottom w:val="single" w:sz="6" w:space="0" w:color="000000"/>
                            </w:tcBorders>
                          </w:tcPr>
                          <w:p>
                            <w:pPr>
                              <w:pStyle w:val="Normal"/>
                              <w:spacing w:lineRule="atLeast" w:line="229"/>
                              <w:rPr/>
                            </w:pPr>
                            <w:r>
                              <w:rPr/>
                              <w:t>28%</w:t>
                            </w:r>
                          </w:p>
                        </w:tc>
                        <w:tc>
                          <w:tcPr>
                            <w:tcW w:w="1260" w:type="dxa"/>
                            <w:tcBorders>
                              <w:bottom w:val="single" w:sz="6" w:space="0" w:color="000000"/>
                            </w:tcBorders>
                          </w:tcPr>
                          <w:p>
                            <w:pPr>
                              <w:pStyle w:val="Normal"/>
                              <w:spacing w:lineRule="atLeast" w:line="229"/>
                              <w:rPr/>
                            </w:pPr>
                            <w:r>
                              <w:rPr/>
                              <w:t>33%</w:t>
                            </w:r>
                          </w:p>
                        </w:tc>
                        <w:tc>
                          <w:tcPr>
                            <w:tcW w:w="1440" w:type="dxa"/>
                            <w:tcBorders>
                              <w:bottom w:val="single" w:sz="6" w:space="0" w:color="000000"/>
                              <w:end w:val="single" w:sz="6" w:space="0" w:color="000000"/>
                            </w:tcBorders>
                          </w:tcPr>
                          <w:p>
                            <w:pPr>
                              <w:pStyle w:val="Normal"/>
                              <w:spacing w:lineRule="atLeast" w:line="229"/>
                              <w:rPr/>
                            </w:pPr>
                            <w:r>
                              <w:rPr/>
                              <w:t>35%</w:t>
                            </w:r>
                          </w:p>
                        </w:tc>
                      </w:tr>
                    </w:tbl>
                  </w:txbxContent>
                </v:textbox>
                <w10:wrap type="square"/>
              </v:rect>
            </w:pict>
          </mc:Fallback>
        </mc:AlternateContent>
      </w:r>
    </w:p>
    <w:p>
      <w:pPr>
        <w:pStyle w:val="Normal"/>
        <w:rPr>
          <w:b/>
          <w:bCs/>
        </w:rPr>
      </w:pPr>
      <w:r>
        <w:rPr>
          <w:b/>
          <w:bCs/>
        </w:rPr>
      </w:r>
    </w:p>
    <w:p>
      <w:pPr>
        <w:pStyle w:val="Normal"/>
        <w:rPr>
          <w:b/>
          <w:bCs/>
        </w:rPr>
      </w:pPr>
      <w:r>
        <w:rPr>
          <w:b/>
          <w:bCs/>
        </w:rPr>
      </w:r>
    </w:p>
    <w:p>
      <w:pPr>
        <w:pStyle w:val="Normal"/>
        <w:rPr/>
      </w:pPr>
      <w:r>
        <w:rPr/>
      </w:r>
    </w:p>
    <w:p>
      <w:pPr>
        <w:pStyle w:val="Normal"/>
        <w:ind w:firstLine="720" w:end="0"/>
        <w:jc w:val="both"/>
        <w:rPr>
          <w:sz w:val="24"/>
          <w:szCs w:val="24"/>
        </w:rPr>
      </w:pPr>
      <w:r>
        <w:rPr>
          <w:sz w:val="24"/>
          <w:szCs w:val="24"/>
        </w:rPr>
        <w:t>From a supply-side perspective, the bill actually incorporates some important new pro-growth incentives that have been largely overlooked, perhaps because they’re not found in the usual places. Supply-side tax analysis typically is most concerned with the upper end of the progressive marginal rate structure, and for good reason.</w:t>
      </w:r>
    </w:p>
    <w:p>
      <w:pPr>
        <w:pStyle w:val="Normal"/>
        <w:jc w:val="both"/>
        <w:rPr>
          <w:sz w:val="24"/>
          <w:szCs w:val="24"/>
        </w:rPr>
      </w:pPr>
      <w:r>
        <w:rPr>
          <w:sz w:val="24"/>
          <w:szCs w:val="24"/>
        </w:rPr>
      </w:r>
    </w:p>
    <w:p>
      <w:pPr>
        <w:pStyle w:val="Normal"/>
        <w:ind w:firstLine="720" w:end="0"/>
        <w:jc w:val="both"/>
        <w:rPr>
          <w:sz w:val="24"/>
          <w:szCs w:val="24"/>
        </w:rPr>
      </w:pPr>
      <w:r>
        <w:rPr>
          <w:sz w:val="24"/>
          <w:szCs w:val="24"/>
        </w:rPr>
        <w:t>The top rate is critical to the decisions of economic activists who avoid the levy simply by not engaging in activity rendered uneconomic when taxed at the highest rate. To the extent that reductions in the rate enhance marginal expected after-tax returns, capital and labor will seek higher-risk income-producing opportunities, improving growth prospects. The Bush plan, as we’ve already noted, represents positive change in that regard.  Over the next five years it could raise trend economic growth to 3.9% from 3.5%.</w:t>
      </w:r>
    </w:p>
    <w:p>
      <w:pPr>
        <w:pStyle w:val="Normal"/>
        <w:jc w:val="both"/>
        <w:rPr>
          <w:sz w:val="24"/>
          <w:szCs w:val="24"/>
        </w:rPr>
      </w:pPr>
      <w:r>
        <w:rPr>
          <w:sz w:val="24"/>
          <w:szCs w:val="24"/>
        </w:rPr>
      </w:r>
    </w:p>
    <w:p>
      <w:pPr>
        <w:pStyle w:val="WW-BodyText21"/>
        <w:rPr/>
      </w:pPr>
      <w:r>
        <w:rPr/>
        <w:t xml:space="preserve">Before a taxpayer can become eligible (or liable) to pay at the highest rates, however, he or she must climb the ladder of economic opportunity, building personal resources that  pay off over time in rising earning and wealth-creation potential. At the foundations of entrepreneurial capitalism, it’s essential that  the aspirations and  initiative of  budding  activists not be  faced with </w:t>
      </w:r>
    </w:p>
    <w:p>
      <w:pPr>
        <w:pStyle w:val="BodyText3"/>
        <w:rPr/>
      </w:pPr>
      <w:r>
        <w:rPr/>
        <w:t>stifling tax penalties on the results of their endeavors. The lower the tax hurdle at these levels, the greater the potential long-run economic returns. Here, the new tax structure should help significantly seeding opportunity for expansion of grassroots economic activity.</w:t>
      </w:r>
    </w:p>
    <w:p>
      <w:pPr>
        <w:pStyle w:val="Normal"/>
        <w:jc w:val="both"/>
        <w:rPr>
          <w:sz w:val="24"/>
          <w:szCs w:val="24"/>
        </w:rPr>
      </w:pPr>
      <w:r>
        <w:rPr>
          <w:sz w:val="24"/>
          <w:szCs w:val="24"/>
        </w:rPr>
      </w:r>
    </w:p>
    <w:p>
      <w:pPr>
        <w:pStyle w:val="Normal"/>
        <w:ind w:firstLine="720" w:end="0"/>
        <w:jc w:val="both"/>
        <w:rPr>
          <w:sz w:val="24"/>
          <w:szCs w:val="24"/>
        </w:rPr>
      </w:pPr>
      <w:r>
        <w:rPr>
          <w:sz w:val="24"/>
          <w:szCs w:val="24"/>
        </w:rPr>
        <w:t>With creation of a new 10% bracket, expansion of the 15% bracket, and the three-point reduction of the 28% rate, burdens on the first $100,000 of taxable income stand to fall significantly, especially for married couples filing joint returns. Under current law, married couples filing jointly face a jump in the marginal rate from 15% to 28% at $45,200 of taxable income, an 86% hike. When fully phased in, the bill will establish a new 10% rate on the first $12,300 of income on joint returns, with the 15% threshold running from that point up to $57,050 in current dollars (the thresholds are indexed to inflation).</w:t>
      </w:r>
    </w:p>
    <w:p>
      <w:pPr>
        <w:pStyle w:val="Normal"/>
        <w:jc w:val="both"/>
        <w:rPr>
          <w:sz w:val="24"/>
          <w:szCs w:val="24"/>
        </w:rPr>
      </w:pPr>
      <w:r>
        <w:rPr>
          <w:sz w:val="24"/>
          <w:szCs w:val="24"/>
        </w:rPr>
      </w:r>
    </w:p>
    <w:p>
      <w:pPr>
        <w:pStyle w:val="Normal"/>
        <w:ind w:firstLine="720" w:end="0"/>
        <w:jc w:val="both"/>
        <w:rPr>
          <w:sz w:val="24"/>
          <w:szCs w:val="24"/>
        </w:rPr>
      </w:pPr>
      <w:r>
        <w:rPr>
          <w:sz w:val="24"/>
          <w:szCs w:val="24"/>
        </w:rPr>
        <w:t>Expansion of the 15% threshold was put through under the moniker of “marriage penalty relief,” and was structured to raise the end point of the 15% threshold for joint returns to a level double that of unmarried individuals. Of course, that’s all to the good. Whatever the motivation, though, the fact is the changes will have positive dynamic effects.</w:t>
      </w:r>
    </w:p>
    <w:p>
      <w:pPr>
        <w:pStyle w:val="Normal"/>
        <w:jc w:val="both"/>
        <w:rPr>
          <w:sz w:val="24"/>
          <w:szCs w:val="24"/>
        </w:rPr>
      </w:pPr>
      <w:r>
        <w:rPr>
          <w:sz w:val="24"/>
          <w:szCs w:val="24"/>
        </w:rPr>
      </w:r>
    </w:p>
    <w:p>
      <w:pPr>
        <w:pStyle w:val="Normal"/>
        <w:ind w:firstLine="720" w:end="0"/>
        <w:jc w:val="both"/>
        <w:rPr>
          <w:sz w:val="24"/>
          <w:szCs w:val="24"/>
        </w:rPr>
      </w:pPr>
      <w:r>
        <w:rPr>
          <w:sz w:val="24"/>
          <w:szCs w:val="24"/>
        </w:rPr>
        <w:t>On the first $57,050 of taxable income, the burden faced by couples filing jointly will be reduced by 21%. The after-tax return on the marginal dollar earned between $45,200 and $57,050, taxed at 15% rather than 28%, will rise by 18%. At the same time, with the 28% rate coming down to 25%, the effective tax rate on the first $100,000 of taxable income on joint returns drops to 18.7% from 22%, a 16% cut.</w:t>
      </w:r>
    </w:p>
    <w:p>
      <w:pPr>
        <w:pStyle w:val="Normal"/>
        <w:jc w:val="both"/>
        <w:rPr>
          <w:sz w:val="24"/>
          <w:szCs w:val="24"/>
        </w:rPr>
      </w:pPr>
      <w:r>
        <w:rPr>
          <w:sz w:val="24"/>
          <w:szCs w:val="24"/>
        </w:rPr>
      </w:r>
    </w:p>
    <w:p>
      <w:pPr>
        <w:pStyle w:val="Normal"/>
        <w:ind w:firstLine="720" w:end="0"/>
        <w:jc w:val="both"/>
        <w:rPr>
          <w:sz w:val="24"/>
          <w:szCs w:val="24"/>
        </w:rPr>
      </w:pPr>
      <w:r>
        <w:rPr>
          <w:sz w:val="24"/>
          <w:szCs w:val="24"/>
        </w:rPr>
        <w:t xml:space="preserve">That’s a significant improvement in the after-tax incentive to supply labor and entrepreneurial talent to the market at these income levels. On top of the other benefits, it should also help pull in new labor force participants from among the ranks of those now considered “unemployable.” Unfortunately, though, none of this is going to happen any time soon. Due to the strictures placed on the tax legislation by the absurd budget accounting rules, expansion of the 15% bracket is slated to be phased in over four years, </w:t>
      </w:r>
      <w:r>
        <w:rPr>
          <w:i/>
          <w:iCs/>
          <w:sz w:val="24"/>
          <w:szCs w:val="24"/>
        </w:rPr>
        <w:t>beginning in 2005.</w:t>
      </w:r>
    </w:p>
    <w:p>
      <w:pPr>
        <w:pStyle w:val="Normal"/>
        <w:jc w:val="both"/>
        <w:rPr>
          <w:sz w:val="24"/>
          <w:szCs w:val="24"/>
        </w:rPr>
      </w:pPr>
      <w:r>
        <w:rPr>
          <w:sz w:val="24"/>
          <w:szCs w:val="24"/>
        </w:rPr>
      </w:r>
    </w:p>
    <w:p>
      <w:pPr>
        <w:pStyle w:val="Normal"/>
        <w:jc w:val="both"/>
        <w:rPr/>
      </w:pPr>
      <w:r>
        <w:rPr/>
      </w:r>
    </w:p>
    <w:p>
      <w:pPr>
        <w:pStyle w:val="Normal"/>
        <w:jc w:val="both"/>
        <w:rPr/>
      </w:pPr>
      <w:r>
        <w:rPr/>
      </w:r>
    </w:p>
    <w:p>
      <w:pPr>
        <w:pStyle w:val="Normal"/>
        <w:jc w:val="both"/>
        <w:rPr>
          <w:sz w:val="28"/>
          <w:szCs w:val="28"/>
        </w:rPr>
      </w:pPr>
      <w:r>
        <w:rPr>
          <w:sz w:val="28"/>
          <w:szCs w:val="28"/>
        </w:rPr>
        <w:t> </w:t>
      </w:r>
    </w:p>
    <w:p>
      <w:pPr>
        <w:pStyle w:val="Normal"/>
        <w:jc w:val="both"/>
        <w:rPr>
          <w:sz w:val="28"/>
          <w:szCs w:val="28"/>
        </w:rPr>
      </w:pPr>
      <w:r>
        <w:rPr/>
        <w:tab/>
      </w:r>
    </w:p>
    <w:p>
      <w:pPr>
        <w:pStyle w:val="Normal"/>
        <w:jc w:val="both"/>
        <w:rPr>
          <w:sz w:val="28"/>
          <w:szCs w:val="28"/>
        </w:rPr>
      </w:pPr>
      <w:r>
        <w:rPr>
          <w:sz w:val="28"/>
          <w:szCs w:val="28"/>
        </w:rPr>
      </w:r>
    </w:p>
    <w:p>
      <w:pPr>
        <w:pStyle w:val="Normal"/>
        <w:ind w:firstLine="720" w:end="0"/>
        <w:jc w:val="both"/>
        <w:rPr>
          <w:sz w:val="28"/>
          <w:szCs w:val="28"/>
        </w:rPr>
      </w:pPr>
      <w:r>
        <w:rPr>
          <w:sz w:val="28"/>
          <w:szCs w:val="28"/>
        </w:rPr>
      </w:r>
    </w:p>
    <w:p>
      <w:pPr>
        <w:pStyle w:val="Normal"/>
        <w:ind w:firstLine="720" w:end="0"/>
        <w:jc w:val="both"/>
        <w:rPr>
          <w:u w:val="single"/>
        </w:rPr>
      </w:pPr>
      <w:r>
        <w:rPr>
          <w:u w:val="single"/>
        </w:rPr>
        <w:tab/>
        <w:tab/>
        <w:tab/>
        <w:tab/>
        <w:tab/>
        <w:tab/>
        <w:tab/>
        <w:tab/>
        <w:tab/>
        <w:tab/>
        <w:tab/>
        <w:tab/>
      </w:r>
    </w:p>
    <w:p>
      <w:pPr>
        <w:pStyle w:val="Normal"/>
        <w:ind w:firstLine="720" w:end="0"/>
        <w:jc w:val="both"/>
        <w:rPr>
          <w:u w:val="single"/>
        </w:rPr>
      </w:pPr>
      <w:r>
        <w:rPr>
          <w:u w:val="single"/>
        </w:rPr>
      </w:r>
    </w:p>
    <w:p>
      <w:pPr>
        <w:pStyle w:val="Normal"/>
        <w:ind w:firstLine="720" w:end="0"/>
        <w:rPr/>
      </w:pPr>
      <w:r>
        <w:rPr/>
        <w:t>Kudlow &amp; Co., LLC</w:t>
        <w:tab/>
        <w:tab/>
        <w:tab/>
        <w:tab/>
        <w:tab/>
        <w:tab/>
        <w:tab/>
        <w:t xml:space="preserve">             (212)644-8610 (p)</w:t>
      </w:r>
    </w:p>
    <w:p>
      <w:pPr>
        <w:pStyle w:val="Normal"/>
        <w:ind w:firstLine="720" w:end="0"/>
        <w:rPr/>
      </w:pPr>
      <w:r>
        <w:rPr/>
        <w:t>One Dag Hammarskjold Plaza</w:t>
        <w:tab/>
        <w:tab/>
        <w:tab/>
        <w:tab/>
        <w:tab/>
        <w:tab/>
        <w:t xml:space="preserve">             (212)588-1636 (f)</w:t>
        <w:tab/>
      </w:r>
    </w:p>
    <w:p>
      <w:pPr>
        <w:pStyle w:val="Normal"/>
        <w:ind w:firstLine="720" w:end="0"/>
        <w:rPr/>
      </w:pPr>
      <w:r>
        <w:rPr/>
        <w:t>885 Second Avenue, 26</w:t>
      </w:r>
      <w:r>
        <w:rPr>
          <w:vertAlign w:val="superscript"/>
        </w:rPr>
        <w:t>th</w:t>
      </w:r>
      <w:r>
        <w:rPr/>
        <w:t xml:space="preserve"> Floor</w:t>
      </w:r>
    </w:p>
    <w:p>
      <w:pPr>
        <w:pStyle w:val="Normal"/>
        <w:ind w:firstLine="720" w:end="0"/>
        <w:rPr/>
      </w:pPr>
      <w:r>
        <w:rPr/>
        <w:t>New York, New York 10017</w:t>
        <w:tab/>
        <w:tab/>
        <w:tab/>
        <w:tab/>
        <w:tab/>
        <w:tab/>
        <w:tab/>
      </w:r>
      <w:r>
        <w:rPr>
          <w:rStyle w:val="Hyperlink"/>
        </w:rPr>
        <w:t>www.kudlow.com</w:t>
      </w:r>
    </w:p>
    <w:p>
      <w:pPr>
        <w:pStyle w:val="Normal"/>
        <w:ind w:firstLine="720" w:end="0"/>
        <w:rPr/>
      </w:pPr>
      <w:r>
        <w:rPr>
          <w:u w:val="single"/>
        </w:rPr>
        <w:tab/>
        <w:tab/>
        <w:tab/>
        <w:tab/>
        <w:tab/>
        <w:tab/>
        <w:tab/>
        <w:tab/>
        <w:tab/>
        <w:tab/>
        <w:tab/>
        <w:tab/>
      </w:r>
      <w:r>
        <w:rPr/>
        <w:tab/>
        <w:tab/>
        <w:tab/>
        <w:tab/>
        <w:tab/>
        <w:tab/>
        <w:tab/>
        <w:tab/>
        <w:tab/>
        <w:tab/>
      </w:r>
    </w:p>
    <w:sectPr>
      <w:footerReference w:type="default" r:id="rId2"/>
      <w:type w:val="nextPage"/>
      <w:pgSz w:w="12240" w:h="15840"/>
      <w:pgMar w:left="1440" w:right="1296" w:gutter="0" w:header="0" w:top="1440" w:footer="720" w:bottom="144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Palatino-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2"/>
      <w:jc w:val="both"/>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5.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480"/>
      <w:outlineLvl w:val="0"/>
    </w:pPr>
    <w:rPr>
      <w:b/>
      <w:bCs/>
      <w:sz w:val="28"/>
      <w:szCs w:val="28"/>
      <w:u w:val="single"/>
    </w:rPr>
  </w:style>
  <w:style w:type="paragraph" w:styleId="Heading2">
    <w:name w:val="heading 2"/>
    <w:basedOn w:val="Normal"/>
    <w:next w:val="Normal"/>
    <w:qFormat/>
    <w:pPr>
      <w:keepNext w:val="true"/>
      <w:numPr>
        <w:ilvl w:val="1"/>
        <w:numId w:val="1"/>
      </w:numPr>
      <w:jc w:val="center"/>
      <w:outlineLvl w:val="1"/>
    </w:pPr>
    <w:rPr>
      <w:sz w:val="24"/>
      <w:szCs w:val="24"/>
    </w:rPr>
  </w:style>
  <w:style w:type="paragraph" w:styleId="Heading3">
    <w:name w:val="heading 3"/>
    <w:basedOn w:val="Normal"/>
    <w:next w:val="Normal"/>
    <w:qFormat/>
    <w:pPr>
      <w:keepNext w:val="true"/>
      <w:numPr>
        <w:ilvl w:val="2"/>
        <w:numId w:val="1"/>
      </w:numPr>
      <w:jc w:val="both"/>
      <w:outlineLvl w:val="2"/>
    </w:pPr>
    <w:rPr>
      <w:b/>
      <w:bCs/>
      <w:i/>
      <w:iCs/>
      <w:sz w:val="28"/>
      <w:szCs w:val="28"/>
    </w:rPr>
  </w:style>
  <w:style w:type="paragraph" w:styleId="Heading4">
    <w:name w:val="heading 4"/>
    <w:basedOn w:val="Normal"/>
    <w:next w:val="Normal"/>
    <w:qFormat/>
    <w:pPr>
      <w:keepNext w:val="true"/>
      <w:numPr>
        <w:ilvl w:val="3"/>
        <w:numId w:val="1"/>
      </w:numPr>
      <w:jc w:val="center"/>
      <w:outlineLvl w:val="3"/>
    </w:pPr>
    <w:rPr>
      <w:b/>
      <w:bCs/>
      <w:i/>
      <w:iCs/>
      <w:sz w:val="24"/>
      <w:szCs w:val="24"/>
    </w:rPr>
  </w:style>
  <w:style w:type="paragraph" w:styleId="Heading5">
    <w:name w:val="heading 5"/>
    <w:basedOn w:val="Normal"/>
    <w:next w:val="Normal"/>
    <w:qFormat/>
    <w:pPr>
      <w:keepNext w:val="true"/>
      <w:numPr>
        <w:ilvl w:val="4"/>
        <w:numId w:val="1"/>
      </w:numPr>
      <w:jc w:val="both"/>
      <w:outlineLvl w:val="4"/>
    </w:pPr>
    <w:rPr>
      <w:i/>
      <w:iCs/>
    </w:rPr>
  </w:style>
  <w:style w:type="paragraph" w:styleId="Heading6">
    <w:name w:val="heading 6"/>
    <w:basedOn w:val="Normal"/>
    <w:next w:val="Normal"/>
    <w:qFormat/>
    <w:pPr>
      <w:keepNext w:val="true"/>
      <w:numPr>
        <w:ilvl w:val="5"/>
        <w:numId w:val="1"/>
      </w:numPr>
      <w:jc w:val="both"/>
      <w:outlineLvl w:val="5"/>
    </w:pPr>
    <w:rPr/>
  </w:style>
  <w:style w:type="paragraph" w:styleId="Heading7">
    <w:name w:val="heading 7"/>
    <w:basedOn w:val="Normal"/>
    <w:next w:val="Normal"/>
    <w:qFormat/>
    <w:pPr>
      <w:keepNext w:val="true"/>
      <w:numPr>
        <w:ilvl w:val="6"/>
        <w:numId w:val="1"/>
      </w:numPr>
      <w:outlineLvl w:val="6"/>
    </w:pPr>
    <w:rPr>
      <w:i/>
      <w:iCs/>
    </w:rPr>
  </w:style>
  <w:style w:type="character" w:styleId="DefaultParagraphFont">
    <w:name w:val="Default Paragraph Font"/>
    <w:qFormat/>
    <w:rPr/>
  </w:style>
  <w:style w:type="character" w:styleId="PageNumber">
    <w:name w:val="page number"/>
    <w:basedOn w:val="DefaultParagraphFont"/>
    <w:rPr/>
  </w:style>
  <w:style w:type="character" w:styleId="Analyst">
    <w:name w:val="Analyst"/>
    <w:basedOn w:val="DefaultParagraphFont"/>
    <w:qFormat/>
    <w:rPr>
      <w:rFonts w:ascii="Times New Roman" w:hAnsi="Times New Roman" w:eastAsia="Times New Roman" w:cs="Times New Roman"/>
      <w:sz w:val="22"/>
      <w:szCs w:val="22"/>
    </w:rPr>
  </w:style>
  <w:style w:type="character" w:styleId="Date1">
    <w:name w:val="Date1"/>
    <w:basedOn w:val="DefaultParagraphFont"/>
    <w:qFormat/>
    <w:rPr>
      <w:rFonts w:ascii="Times New Roman" w:hAnsi="Times New Roman" w:eastAsia="Times New Roman" w:cs="Times New Roman"/>
      <w:sz w:val="22"/>
      <w:szCs w:val="22"/>
    </w:rPr>
  </w:style>
  <w:style w:type="character" w:styleId="Assistant">
    <w:name w:val="Assistant"/>
    <w:basedOn w:val="DefaultParagraphFont"/>
    <w:qFormat/>
    <w:rPr>
      <w:rFonts w:ascii="Times New Roman" w:hAnsi="Times New Roman" w:eastAsia="Times New Roman" w:cs="Times New Roman"/>
      <w:i/>
      <w:iCs/>
      <w:sz w:val="22"/>
      <w:szCs w:val="22"/>
    </w:rPr>
  </w:style>
  <w:style w:type="character" w:styleId="Hyperlink">
    <w:name w:val="Hyperlink"/>
    <w:basedOn w:val="DefaultParagraphFont"/>
    <w:qFormat/>
    <w:rPr>
      <w:color w:val="0000FF"/>
      <w:u w:val="single"/>
    </w:rPr>
  </w:style>
  <w:style w:type="character" w:styleId="FollowedHyperlink">
    <w:name w:val="FollowedHyperlink"/>
    <w:basedOn w:val="DefaultParagraphFont"/>
    <w:qFormat/>
    <w:rPr>
      <w:color w:val="800080"/>
      <w:u w:val="single"/>
    </w:rPr>
  </w:style>
  <w:style w:type="paragraph" w:styleId="Heading">
    <w:name w:val="Heading"/>
    <w:basedOn w:val="Normal"/>
    <w:next w:val="BodyText"/>
    <w:qFormat/>
    <w:pPr>
      <w:spacing w:lineRule="auto" w:line="480"/>
      <w:jc w:val="center"/>
    </w:pPr>
    <w:rPr>
      <w:b/>
      <w:bCs/>
      <w:sz w:val="28"/>
      <w:szCs w:val="28"/>
      <w:u w:val="single"/>
    </w:rPr>
  </w:style>
  <w:style w:type="paragraph" w:styleId="BodyText">
    <w:name w:val="Body Text"/>
    <w:basedOn w:val="Normal"/>
    <w:pPr>
      <w:spacing w:lineRule="auto" w:line="480"/>
    </w:pPr>
    <w:rPr>
      <w:sz w:val="28"/>
      <w:szCs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rmatBulletPoint">
    <w:name w:val="FormatBulletPoint"/>
    <w:basedOn w:val="Normal"/>
    <w:qFormat/>
    <w:pPr>
      <w:numPr>
        <w:ilvl w:val="0"/>
        <w:numId w:val="2"/>
      </w:numPr>
      <w:tabs>
        <w:tab w:val="clear" w:pos="720"/>
        <w:tab w:val="left" w:pos="360" w:leader="none"/>
      </w:tabs>
    </w:pPr>
    <w:rPr/>
  </w:style>
  <w:style w:type="paragraph" w:styleId="IndustryBanner">
    <w:name w:val="IndustryBanner"/>
    <w:basedOn w:val="Normal"/>
    <w:qFormat/>
    <w:pPr>
      <w:pBdr>
        <w:top w:val="double" w:sz="6" w:space="1" w:color="000000"/>
        <w:left w:val="double" w:sz="6" w:space="1" w:color="000000"/>
        <w:bottom w:val="double" w:sz="6" w:space="1" w:color="000000"/>
        <w:right w:val="double" w:sz="6" w:space="1" w:color="000000"/>
      </w:pBdr>
      <w:shd w:fill="000080" w:val="clear"/>
      <w:tabs>
        <w:tab w:val="clear" w:pos="720"/>
        <w:tab w:val="left" w:pos="5760" w:leader="none"/>
      </w:tabs>
    </w:pPr>
    <w:rPr>
      <w:i/>
      <w:iCs/>
      <w:color w:val="FFFFFF"/>
      <w:sz w:val="32"/>
      <w:szCs w:val="32"/>
    </w:rPr>
  </w:style>
  <w:style w:type="paragraph" w:styleId="CompanyBanner">
    <w:name w:val="CompanyBanner"/>
    <w:basedOn w:val="Normal"/>
    <w:qFormat/>
    <w:pPr>
      <w:spacing w:before="400" w:after="0"/>
      <w:jc w:val="center"/>
    </w:pPr>
    <w:rPr>
      <w:b/>
      <w:bCs/>
      <w:sz w:val="32"/>
      <w:szCs w:val="32"/>
    </w:rPr>
  </w:style>
  <w:style w:type="paragraph" w:styleId="TitleBanner">
    <w:name w:val="TitleBanner"/>
    <w:basedOn w:val="Normal"/>
    <w:next w:val="Normal"/>
    <w:qFormat/>
    <w:pPr>
      <w:pBdr>
        <w:bottom w:val="double" w:sz="6" w:space="1" w:color="000000"/>
      </w:pBdr>
      <w:tabs>
        <w:tab w:val="clear" w:pos="720"/>
        <w:tab w:val="right" w:pos="5580" w:leader="none"/>
        <w:tab w:val="right" w:pos="9450" w:leader="none"/>
      </w:tabs>
      <w:jc w:val="center"/>
    </w:pPr>
    <w:rPr>
      <w:i/>
      <w:iCs/>
      <w:sz w:val="28"/>
      <w:szCs w:val="28"/>
    </w:rPr>
  </w:style>
  <w:style w:type="paragraph" w:styleId="KeyPoint">
    <w:name w:val="KeyPoint"/>
    <w:basedOn w:val="Normal"/>
    <w:qFormat/>
    <w:pPr/>
    <w:rPr>
      <w:b/>
      <w:bCs/>
      <w:sz w:val="26"/>
      <w:szCs w:val="26"/>
    </w:rPr>
  </w:style>
  <w:style w:type="paragraph" w:styleId="BulletBanner">
    <w:name w:val="BulletBanner"/>
    <w:basedOn w:val="Normal"/>
    <w:qFormat/>
    <w:pPr>
      <w:numPr>
        <w:ilvl w:val="0"/>
        <w:numId w:val="3"/>
      </w:numPr>
      <w:tabs>
        <w:tab w:val="clear" w:pos="720"/>
        <w:tab w:val="left" w:pos="360" w:leader="none"/>
      </w:tabs>
      <w:spacing w:before="240" w:after="0"/>
      <w:ind w:hanging="360" w:start="360" w:end="0"/>
      <w:jc w:val="both"/>
    </w:pPr>
    <w:rPr>
      <w:sz w:val="22"/>
      <w:szCs w:val="22"/>
    </w:rPr>
  </w:style>
  <w:style w:type="paragraph" w:styleId="BodyText1">
    <w:name w:val="BodyText"/>
    <w:basedOn w:val="Normal"/>
    <w:qFormat/>
    <w:pPr>
      <w:jc w:val="both"/>
    </w:pPr>
    <w:rPr>
      <w:sz w:val="22"/>
      <w:szCs w:val="22"/>
    </w:rPr>
  </w:style>
  <w:style w:type="paragraph" w:styleId="BodyText2">
    <w:name w:val="Body Text 2"/>
    <w:basedOn w:val="Normal"/>
    <w:qFormat/>
    <w:pPr>
      <w:ind w:firstLine="720" w:start="0" w:end="0"/>
    </w:pPr>
    <w:rPr>
      <w:rFonts w:ascii="Palatino-Roman" w:hAnsi="Palatino-Roman" w:eastAsia="Palatino-Roman" w:cs="Palatino-Roman"/>
      <w:sz w:val="24"/>
      <w:szCs w:val="24"/>
    </w:rPr>
  </w:style>
  <w:style w:type="paragraph" w:styleId="WW-BodyText2">
    <w:name w:val="WW-Body Text 2"/>
    <w:basedOn w:val="Normal"/>
    <w:qFormat/>
    <w:pPr>
      <w:ind w:firstLine="720" w:start="0" w:end="0"/>
      <w:jc w:val="both"/>
    </w:pPr>
    <w:rPr>
      <w:sz w:val="28"/>
      <w:szCs w:val="28"/>
    </w:rPr>
  </w:style>
  <w:style w:type="paragraph" w:styleId="WW-BodyText21">
    <w:name w:val="WW-Body Text 21"/>
    <w:basedOn w:val="Normal"/>
    <w:qFormat/>
    <w:pPr>
      <w:ind w:firstLine="720" w:start="0" w:end="0"/>
      <w:jc w:val="both"/>
    </w:pPr>
    <w:rPr>
      <w:sz w:val="24"/>
      <w:szCs w:val="24"/>
    </w:rPr>
  </w:style>
  <w:style w:type="paragraph" w:styleId="BodyText3">
    <w:name w:val="Body Text 3"/>
    <w:basedOn w:val="Normal"/>
    <w:qFormat/>
    <w:pPr>
      <w:jc w:val="both"/>
    </w:pPr>
    <w:rPr>
      <w:sz w:val="24"/>
      <w:szCs w:val="2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IndustryMN_New</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2001-06-01T16:29:00Z</dcterms:created>
  <dc:creator>Susan Varga</dc:creator>
  <dc:description/>
  <dc:language>en-CA</dc:language>
  <cp:lastModifiedBy>svarga</cp:lastModifiedBy>
  <cp:lastPrinted>2001-05-25T15:17:00Z</cp:lastPrinted>
  <dcterms:modified xsi:type="dcterms:W3CDTF">2001-06-01T16:35:00Z</dcterms:modified>
  <cp:revision>4</cp:revision>
  <dc:subject/>
  <dc:title>Industry Name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readySaved">
    <vt:lpwstr>1</vt:lpwstr>
  </property>
  <property fmtid="{D5CDD505-2E9C-101B-9397-08002B2CF9AE}" pid="3" name="CounterPath">
    <vt:lpwstr>\\RESEARCH1\SYS\MMNotes\</vt:lpwstr>
  </property>
  <property fmtid="{D5CDD505-2E9C-101B-9397-08002B2CF9AE}" pid="4" name="CurrentPrice">
    <vt:lpwstr>$</vt:lpwstr>
  </property>
  <property fmtid="{D5CDD505-2E9C-101B-9397-08002B2CF9AE}" pid="5" name="FCAnalystForTemp">
    <vt:lpwstr>Lawrence Kudlow</vt:lpwstr>
  </property>
  <property fmtid="{D5CDD505-2E9C-101B-9397-08002B2CF9AE}" pid="6" name="FCAnalystN1">
    <vt:lpwstr>Kudlow, Lawrence</vt:lpwstr>
  </property>
  <property fmtid="{D5CDD505-2E9C-101B-9397-08002B2CF9AE}" pid="7" name="FCAnalystPhone">
    <vt:lpwstr>(212) 409-5213</vt:lpwstr>
  </property>
  <property fmtid="{D5CDD505-2E9C-101B-9397-08002B2CF9AE}" pid="8" name="FCIndustry">
    <vt:lpwstr>Kudlow's Commentary</vt:lpwstr>
  </property>
  <property fmtid="{D5CDD505-2E9C-101B-9397-08002B2CF9AE}" pid="9" name="FCIndustryID">
    <vt:lpwstr> 159</vt:lpwstr>
  </property>
  <property fmtid="{D5CDD505-2E9C-101B-9397-08002B2CF9AE}" pid="10" name="FCTitle">
    <vt:lpwstr>Below Potential</vt:lpwstr>
  </property>
  <property fmtid="{D5CDD505-2E9C-101B-9397-08002B2CF9AE}" pid="11" name="FirstCallPath">
    <vt:lpwstr>\\RESEARCH1\SYS\MMNotes\FirstCall\</vt:lpwstr>
  </property>
  <property fmtid="{D5CDD505-2E9C-101B-9397-08002B2CF9AE}" pid="12" name="FirstTPath">
    <vt:lpwstr>\\RESEARCH1\SYS\MMNOTES\MorningNotes\</vt:lpwstr>
  </property>
  <property fmtid="{D5CDD505-2E9C-101B-9397-08002B2CF9AE}" pid="13" name="FstCategoryID">
    <vt:lpwstr>2</vt:lpwstr>
  </property>
  <property fmtid="{D5CDD505-2E9C-101B-9397-08002B2CF9AE}" pid="14" name="FstCategoryN">
    <vt:lpwstr>Notes</vt:lpwstr>
  </property>
  <property fmtid="{D5CDD505-2E9C-101B-9397-08002B2CF9AE}" pid="15" name="FstFileN">
    <vt:lpwstr>\\RESEARCH1\SYS\MMNOTES\MorningNotes\Kudlow021316.doc</vt:lpwstr>
  </property>
  <property fmtid="{D5CDD505-2E9C-101B-9397-08002B2CF9AE}" pid="16" name="INGOwnFileN">
    <vt:lpwstr>Kudlow021316.doc</vt:lpwstr>
  </property>
  <property fmtid="{D5CDD505-2E9C-101B-9397-08002B2CF9AE}" pid="17" name="INGPath">
    <vt:lpwstr>\\RESEARCH1\SYS\MMNotes\PDF\OUT\</vt:lpwstr>
  </property>
  <property fmtid="{D5CDD505-2E9C-101B-9397-08002B2CF9AE}" pid="18" name="LocalTemplatePath">
    <vt:lpwstr>C:\RemoteModule\</vt:lpwstr>
  </property>
  <property fmtid="{D5CDD505-2E9C-101B-9397-08002B2CF9AE}" pid="19" name="OfficeTemplatePath">
    <vt:lpwstr>\\RESEARCH1\SYS\MMNotes\Blitz\VAD\</vt:lpwstr>
  </property>
  <property fmtid="{D5CDD505-2E9C-101B-9397-08002B2CF9AE}" pid="20" name="OwnPath">
    <vt:lpwstr>U:\Kudlow021316.doc</vt:lpwstr>
  </property>
  <property fmtid="{D5CDD505-2E9C-101B-9397-08002B2CF9AE}" pid="21" name="analcode1">
    <vt:lpwstr>575</vt:lpwstr>
  </property>
  <property fmtid="{D5CDD505-2E9C-101B-9397-08002B2CF9AE}" pid="22" name="cnMain">
    <vt:lpwstr>Driver={SQL Server};Server=NYWSQL01;Uid=Mikhail;Pwd=;Database=Production</vt:lpwstr>
  </property>
  <property fmtid="{D5CDD505-2E9C-101B-9397-08002B2CF9AE}" pid="23" name="exePath">
    <vt:lpwstr>V:\MMNOTES</vt:lpwstr>
  </property>
  <property fmtid="{D5CDD505-2E9C-101B-9397-08002B2CF9AE}" pid="24" name="subCategoryN">
    <vt:lpwstr>Update</vt:lpwstr>
  </property>
  <property fmtid="{D5CDD505-2E9C-101B-9397-08002B2CF9AE}" pid="25" name="templatePath">
    <vt:lpwstr>\\RESEARCH1\SYS\MMNotes\Blitz\VAD\</vt:lpwstr>
  </property>
</Properties>
</file>