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Ken Lay Week Wrap-Up</w:t>
      </w:r>
    </w:p>
    <w:p>
      <w:pPr>
        <w:pStyle w:val="Normal"/>
        <w:rPr>
          <w:b/>
          <w:bCs/>
        </w:rPr>
      </w:pPr>
      <w:r>
        <w:rPr>
          <w:b/>
          <w:bCs/>
        </w:rPr>
        <w:t>Friday, November 2</w:t>
      </w:r>
    </w:p>
    <w:p>
      <w:pPr>
        <w:pStyle w:val="Normal"/>
        <w:rPr>
          <w:b/>
          <w:bCs/>
        </w:rPr>
      </w:pPr>
      <w:r>
        <w:rPr>
          <w:b/>
          <w:bCs/>
        </w:rPr>
      </w:r>
    </w:p>
    <w:p>
      <w:pPr>
        <w:pStyle w:val="Normal"/>
        <w:rPr/>
      </w:pPr>
      <w:r>
        <w:rPr/>
        <w:t>This has been a tough couple of weeks for our company.  I hope that these daily communications on new developments are helping you understand what's happening in our efforts to restore your confidence and the confidence of our customers, shareholders and markets.</w:t>
      </w:r>
    </w:p>
    <w:p>
      <w:pPr>
        <w:pStyle w:val="Normal"/>
        <w:rPr/>
      </w:pPr>
      <w:r>
        <w:rPr/>
      </w:r>
    </w:p>
    <w:p>
      <w:pPr>
        <w:pStyle w:val="Normal"/>
        <w:rPr/>
      </w:pPr>
      <w:r>
        <w:rPr/>
        <w:t>Here's a rundown of events from this week:</w:t>
      </w:r>
    </w:p>
    <w:p>
      <w:pPr>
        <w:pStyle w:val="Normal"/>
        <w:rPr/>
      </w:pPr>
      <w:r>
        <w:rPr/>
      </w:r>
    </w:p>
    <w:p>
      <w:pPr>
        <w:pStyle w:val="Normal"/>
        <w:numPr>
          <w:ilvl w:val="0"/>
          <w:numId w:val="4"/>
        </w:numPr>
        <w:tabs>
          <w:tab w:val="clear" w:pos="720"/>
        </w:tabs>
        <w:ind w:hanging="360" w:start="360" w:end="0"/>
        <w:rPr/>
      </w:pPr>
      <w:r>
        <w:rPr/>
        <w:t>We executed a commitment letter with JPMorgan and Salomon Smith Barney that will provide us with additional secured credit lines worth $1 billion.  Our Northern Natural Gas Company and Transwestern Pipeline Company will support these assets.  We now have received a total of $4 billion in credit lines, which we will use to pay off short-term commercial debt and maintain liquidity.</w:t>
      </w:r>
    </w:p>
    <w:p>
      <w:pPr>
        <w:pStyle w:val="Normal"/>
        <w:numPr>
          <w:ilvl w:val="0"/>
          <w:numId w:val="4"/>
        </w:numPr>
        <w:tabs>
          <w:tab w:val="clear" w:pos="720"/>
        </w:tabs>
        <w:spacing w:before="120" w:after="0"/>
        <w:ind w:hanging="360" w:start="360" w:end="0"/>
        <w:rPr/>
      </w:pPr>
      <w:r>
        <w:rPr/>
        <w:t>Our Board of Directors elected a new member to the Board – Willliam Powers, Jr., the dean of The University of Texas School of Law in Austin, Texas.</w:t>
      </w:r>
    </w:p>
    <w:p>
      <w:pPr>
        <w:pStyle w:val="Normal"/>
        <w:numPr>
          <w:ilvl w:val="1"/>
          <w:numId w:val="2"/>
        </w:numPr>
        <w:spacing w:before="120" w:after="0"/>
        <w:rPr/>
      </w:pPr>
      <w:r>
        <w:rPr/>
        <w:t>The Board also established a Special Committee, to be chaired by Dean Powers, that will conduct an in-depth review of the transactions between Enron and entities connected to related parties.  The committee is authorized to take any actions it deems appropriate.</w:t>
      </w:r>
    </w:p>
    <w:p>
      <w:pPr>
        <w:pStyle w:val="Normal"/>
        <w:numPr>
          <w:ilvl w:val="0"/>
          <w:numId w:val="4"/>
        </w:numPr>
        <w:tabs>
          <w:tab w:val="clear" w:pos="720"/>
        </w:tabs>
        <w:spacing w:before="120" w:after="0"/>
        <w:ind w:hanging="360" w:start="360" w:end="0"/>
        <w:rPr/>
      </w:pPr>
      <w:r>
        <w:rPr/>
        <w:t>The Securities &amp; Exchange Commission (SEC) opened up a formal investigation into related party transactions that have been the subject of media reports and the subject of the SEC's formal inquiry.  As I've said before, we welcome this and look forward to working with the SEC to put this matter behind us.</w:t>
      </w:r>
    </w:p>
    <w:p>
      <w:pPr>
        <w:pStyle w:val="Normal"/>
        <w:numPr>
          <w:ilvl w:val="0"/>
          <w:numId w:val="4"/>
        </w:numPr>
        <w:tabs>
          <w:tab w:val="clear" w:pos="720"/>
        </w:tabs>
        <w:spacing w:before="120" w:after="0"/>
        <w:ind w:hanging="360" w:start="360" w:end="0"/>
        <w:rPr/>
      </w:pPr>
      <w:r>
        <w:rPr/>
        <w:t>Moody's lowered our credit rating one level, from Baa1 to Baa2.  Standard &amp; Poor's (S&amp;P) lowered our credit rating one level, from BBB+ to BBB.  Both rating are still above investment grade.</w:t>
      </w:r>
    </w:p>
    <w:p>
      <w:pPr>
        <w:pStyle w:val="Normal"/>
        <w:rPr/>
      </w:pPr>
      <w:r>
        <w:rPr/>
      </w:r>
    </w:p>
    <w:p>
      <w:pPr>
        <w:pStyle w:val="Normal"/>
        <w:rPr/>
      </w:pPr>
      <w:r>
        <w:rPr/>
        <w:t>Even with what's happening with our company, we have kept running our business as usual, and here's a few examples to show you that we are, indeed, doing just that:</w:t>
      </w:r>
    </w:p>
    <w:p>
      <w:pPr>
        <w:pStyle w:val="Normal"/>
        <w:rPr/>
      </w:pPr>
      <w:r>
        <w:rPr/>
      </w:r>
    </w:p>
    <w:p>
      <w:pPr>
        <w:pStyle w:val="Normal"/>
        <w:numPr>
          <w:ilvl w:val="0"/>
          <w:numId w:val="3"/>
        </w:numPr>
        <w:tabs>
          <w:tab w:val="clear" w:pos="720"/>
        </w:tabs>
        <w:ind w:hanging="360" w:start="360" w:end="0"/>
        <w:rPr/>
      </w:pPr>
      <w:r>
        <w:rPr/>
        <w:t>EnronOnline did _____ transactions this week.  As you can see, our customers are not reducing transaction levels as a result of credit concerns.</w:t>
      </w:r>
    </w:p>
    <w:p>
      <w:pPr>
        <w:pStyle w:val="Normal"/>
        <w:numPr>
          <w:ilvl w:val="0"/>
          <w:numId w:val="3"/>
        </w:numPr>
        <w:tabs>
          <w:tab w:val="clear" w:pos="720"/>
        </w:tabs>
        <w:spacing w:before="120" w:after="0"/>
        <w:ind w:hanging="360" w:start="360" w:end="0"/>
        <w:rPr/>
      </w:pPr>
      <w:r>
        <w:rPr>
          <w:color w:val="000000"/>
          <w:szCs w:val="20"/>
        </w:rPr>
        <w:t>EES signed a three-year fixed price agreement with Home Depot to supply power to 115 of its stores in California and 68 stores across Texas.  EES also has exclusive rights to develop energy management proposals for all Home Depot facilities west of the Mississippi.</w:t>
      </w:r>
    </w:p>
    <w:p>
      <w:pPr>
        <w:pStyle w:val="Normal"/>
        <w:numPr>
          <w:ilvl w:val="0"/>
          <w:numId w:val="3"/>
        </w:numPr>
        <w:tabs>
          <w:tab w:val="clear" w:pos="720"/>
        </w:tabs>
        <w:spacing w:before="120" w:after="0"/>
        <w:ind w:hanging="360" w:start="360" w:end="0"/>
        <w:rPr>
          <w:szCs w:val="20"/>
        </w:rPr>
      </w:pPr>
      <w:r>
        <w:rPr/>
        <w:t>EES also signed a three-year energy management agreement with Memorial Sloan-Kettering Cancer Center's four New York City facilities.</w:t>
      </w:r>
    </w:p>
    <w:p>
      <w:pPr>
        <w:pStyle w:val="Normal"/>
        <w:rPr>
          <w:szCs w:val="20"/>
        </w:rPr>
      </w:pPr>
      <w:r>
        <w:rPr>
          <w:szCs w:val="20"/>
        </w:rPr>
      </w:r>
    </w:p>
    <w:p>
      <w:pPr>
        <w:pStyle w:val="Normal"/>
        <w:rPr/>
      </w:pPr>
      <w:r>
        <w:rPr/>
        <w:t>Serious issues have been raised in the media and investment community that have put our credibility and reputation as a company in question.  We're taking an introspective look at our business dealings, our core values and our organization as a whole.  We're doing everything we can to deal with the issues that are affecting our company.  It's a battle – but we believe it's a fight we will win.</w:t>
      </w:r>
    </w:p>
    <w:p>
      <w:pPr>
        <w:pStyle w:val="Normal"/>
        <w:rPr/>
      </w:pPr>
      <w:r>
        <w:rPr/>
      </w:r>
    </w:p>
    <w:p>
      <w:pPr>
        <w:pStyle w:val="Normal"/>
        <w:rPr/>
      </w:pPr>
      <w:r>
        <w:rPr/>
        <w:t>This is why we believe we can do it:</w:t>
      </w:r>
    </w:p>
    <w:p>
      <w:pPr>
        <w:pStyle w:val="Normal"/>
        <w:rPr/>
      </w:pPr>
      <w:r>
        <w:rPr/>
      </w:r>
    </w:p>
    <w:p>
      <w:pPr>
        <w:pStyle w:val="Normal"/>
        <w:numPr>
          <w:ilvl w:val="0"/>
          <w:numId w:val="1"/>
        </w:numPr>
        <w:tabs>
          <w:tab w:val="clear" w:pos="720"/>
        </w:tabs>
        <w:ind w:hanging="360" w:start="360" w:end="0"/>
        <w:rPr/>
      </w:pPr>
      <w:r>
        <w:rPr/>
        <w:t>The fundamentals of our core businesses are sound – they're profitable and they're performing well.  No one can argue otherwise.</w:t>
      </w:r>
    </w:p>
    <w:p>
      <w:pPr>
        <w:pStyle w:val="Normal"/>
        <w:numPr>
          <w:ilvl w:val="0"/>
          <w:numId w:val="1"/>
        </w:numPr>
        <w:tabs>
          <w:tab w:val="clear" w:pos="720"/>
        </w:tabs>
        <w:spacing w:before="120" w:after="0"/>
        <w:ind w:hanging="360" w:start="360" w:end="0"/>
        <w:rPr/>
      </w:pPr>
      <w:r>
        <w:rPr/>
        <w:t>We also have a sold history of accomplishments in our 16-year history that we can be proud of.  But challenges are not new to us.  We've met them head on before and can overcome, and we will do it again.</w:t>
      </w:r>
    </w:p>
    <w:p>
      <w:pPr>
        <w:pStyle w:val="Normal"/>
        <w:numPr>
          <w:ilvl w:val="0"/>
          <w:numId w:val="1"/>
        </w:numPr>
        <w:tabs>
          <w:tab w:val="clear" w:pos="720"/>
        </w:tabs>
        <w:spacing w:before="120" w:after="0"/>
        <w:ind w:hanging="360" w:start="360" w:end="0"/>
        <w:rPr/>
      </w:pPr>
      <w:r>
        <w:rPr/>
        <w:t>But the best reason is our people – you.  No other company has the depth of talent that we have here at Enron.</w:t>
      </w:r>
    </w:p>
    <w:p>
      <w:pPr>
        <w:pStyle w:val="Normal"/>
        <w:rPr/>
      </w:pPr>
      <w:r>
        <w:rPr/>
      </w:r>
    </w:p>
    <w:p>
      <w:pPr>
        <w:pStyle w:val="Normal"/>
        <w:rPr/>
      </w:pPr>
      <w:r>
        <w:rPr/>
        <w:t>And that's where you come in.  Look around you.  Look at the excellence that you and your team represents.  That's the reason we hired you – you're the best.  Now, more than ever, work for Enron and especially for each other.</w:t>
      </w:r>
    </w:p>
    <w:p>
      <w:pPr>
        <w:pStyle w:val="Normal"/>
        <w:rPr/>
      </w:pPr>
      <w:r>
        <w:rPr/>
      </w:r>
    </w:p>
    <w:p>
      <w:pPr>
        <w:pStyle w:val="Normal"/>
        <w:rPr/>
      </w:pPr>
      <w:r>
        <w:rPr/>
        <w:t>Thank you for your continuing support of our company and each other.  Have a great weekend.</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Wingdings" w:hAnsi="Wingdings" w:cs="Wingdings" w:hint="default"/>
        <w:color w:val="000000"/>
      </w:rPr>
    </w:lvl>
  </w:abstractNum>
  <w:abstractNum w:abstractNumId="2">
    <w:lvl w:ilvl="0">
      <w:start w:val="1"/>
      <w:numFmt w:val="bullet"/>
      <w:lvlText w:val=""/>
      <w:lvlJc w:val="start"/>
      <w:pPr>
        <w:tabs>
          <w:tab w:val="num" w:pos="1080"/>
        </w:tabs>
        <w:ind w:start="1080" w:hanging="360"/>
      </w:pPr>
      <w:rPr>
        <w:rFonts w:ascii="Wingdings" w:hAnsi="Wingdings" w:cs="Wingdings" w:hint="default"/>
        <w:color w:val="000000"/>
      </w:rPr>
    </w:lvl>
    <w:lvl w:ilvl="1">
      <w:start w:val="1"/>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1080"/>
        </w:tabs>
        <w:ind w:start="1080" w:hanging="360"/>
      </w:pPr>
      <w:rPr>
        <w:rFonts w:ascii="Wingdings" w:hAnsi="Wingdings" w:cs="Wingdings" w:hint="default"/>
        <w:color w:val="000000"/>
      </w:rPr>
    </w:lvl>
  </w:abstractNum>
  <w:abstractNum w:abstractNumId="4">
    <w:lvl w:ilvl="0">
      <w:start w:val="1"/>
      <w:numFmt w:val="bullet"/>
      <w:lvlText w:val=""/>
      <w:lvlJc w:val="start"/>
      <w:pPr>
        <w:tabs>
          <w:tab w:val="num" w:pos="1080"/>
        </w:tabs>
        <w:ind w:start="1080" w:hanging="360"/>
      </w:pPr>
      <w:rPr>
        <w:rFonts w:ascii="Wingdings" w:hAnsi="Wingdings" w:cs="Wingdings" w:hint="default"/>
        <w:color w:val="000000"/>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color w:val="000000"/>
    </w:rPr>
  </w:style>
  <w:style w:type="character" w:styleId="WW8Num2z1">
    <w:name w:val="WW8Num2z1"/>
    <w:qFormat/>
    <w:rPr>
      <w:rFonts w:ascii="Times New Roman" w:hAnsi="Times New Roman" w:cs="Times New Roman"/>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2001-11-02T13:35:00Z</dcterms:created>
  <dc:creator>sarah palmer</dc:creator>
  <dc:description/>
  <dc:language>en-CA</dc:language>
  <cp:lastModifiedBy>sarah palmer</cp:lastModifiedBy>
  <cp:lastPrinted>2001-11-02T16:01:00Z</cp:lastPrinted>
  <dcterms:modified xsi:type="dcterms:W3CDTF">2001-11-02T19:44:00Z</dcterms:modified>
  <cp:revision>45</cp:revision>
  <dc:subject/>
  <dc:title>Ken Lay Week Wrap-Up</dc:title>
</cp:coreProperties>
</file>