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pPr>
      <w:r>
        <w:rPr/>
        <w:t>July 27, 2000</w:t>
      </w:r>
    </w:p>
    <w:p>
      <w:pPr>
        <w:pStyle w:val="Heading1"/>
        <w:ind w:hanging="0" w:start="0"/>
        <w:rPr/>
      </w:pPr>
      <w:r>
        <w:rPr/>
      </w:r>
    </w:p>
    <w:p>
      <w:pPr>
        <w:pStyle w:val="Heading1"/>
        <w:ind w:hanging="0" w:start="0"/>
        <w:rPr/>
      </w:pPr>
      <w:r>
        <w:rPr/>
      </w:r>
    </w:p>
    <w:p>
      <w:pPr>
        <w:pStyle w:val="Heading1"/>
        <w:ind w:hanging="0" w:start="0"/>
        <w:rPr/>
      </w:pPr>
      <w:r>
        <w:rPr/>
      </w:r>
    </w:p>
    <w:p>
      <w:pPr>
        <w:pStyle w:val="Normal"/>
        <w:rPr>
          <w:sz w:val="24"/>
        </w:rPr>
      </w:pPr>
      <w:r>
        <w:rPr>
          <w:sz w:val="24"/>
        </w:rPr>
        <w:t>Kennecott Coal Sales Company</w:t>
      </w:r>
    </w:p>
    <w:p>
      <w:pPr>
        <w:pStyle w:val="Normal"/>
        <w:rPr>
          <w:sz w:val="24"/>
        </w:rPr>
      </w:pPr>
      <w:r>
        <w:rPr>
          <w:sz w:val="24"/>
        </w:rPr>
        <w:t>505 South Gillette Avenue</w:t>
      </w:r>
    </w:p>
    <w:p>
      <w:pPr>
        <w:pStyle w:val="Normal"/>
        <w:rPr>
          <w:sz w:val="24"/>
        </w:rPr>
      </w:pPr>
      <w:r>
        <w:rPr>
          <w:sz w:val="24"/>
        </w:rPr>
        <w:t>Gillette, Wyoming 82717-3009</w:t>
      </w:r>
    </w:p>
    <w:p>
      <w:pPr>
        <w:pStyle w:val="Normal"/>
        <w:rPr>
          <w:sz w:val="24"/>
        </w:rPr>
      </w:pPr>
      <w:r>
        <w:rPr>
          <w:sz w:val="24"/>
        </w:rPr>
      </w:r>
    </w:p>
    <w:p>
      <w:pPr>
        <w:pStyle w:val="Normal"/>
        <w:rPr>
          <w:sz w:val="24"/>
        </w:rPr>
      </w:pPr>
      <w:r>
        <w:rPr>
          <w:sz w:val="24"/>
        </w:rPr>
      </w:r>
    </w:p>
    <w:p>
      <w:pPr>
        <w:pStyle w:val="Normal"/>
        <w:rPr>
          <w:sz w:val="24"/>
        </w:rPr>
      </w:pPr>
      <w:r>
        <w:rPr>
          <w:sz w:val="24"/>
        </w:rPr>
        <w:t>Attention: Jim Sobule</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Jim:</w:t>
      </w:r>
    </w:p>
    <w:p>
      <w:pPr>
        <w:pStyle w:val="Normal"/>
        <w:rPr>
          <w:sz w:val="24"/>
        </w:rPr>
      </w:pPr>
      <w:r>
        <w:rPr>
          <w:sz w:val="24"/>
        </w:rPr>
      </w:r>
    </w:p>
    <w:p>
      <w:pPr>
        <w:pStyle w:val="Normal"/>
        <w:rPr>
          <w:sz w:val="24"/>
        </w:rPr>
      </w:pPr>
      <w:r>
        <w:rPr>
          <w:sz w:val="24"/>
        </w:rPr>
        <w:t>This letter will serve as our agreement to the following changes to the Electronic Trading Agreement (the “ETA”) which must be accepted by Kennecott Energy on the EnronOnline web site before using the site for trading:</w:t>
      </w:r>
    </w:p>
    <w:p>
      <w:pPr>
        <w:pStyle w:val="Normal"/>
        <w:rPr>
          <w:sz w:val="24"/>
        </w:rPr>
      </w:pPr>
      <w:r>
        <w:rPr>
          <w:sz w:val="24"/>
        </w:rPr>
      </w:r>
    </w:p>
    <w:p>
      <w:pPr>
        <w:pStyle w:val="BodyText2"/>
        <w:rPr/>
      </w:pPr>
      <w:r>
        <w:rPr/>
        <w:t>The second sentence of Section 2(b) of the ETA is hereby amended to read in its entirety as follows:  “Counterparty shall supply Enron with all information reasonably requested by Enron related to its access and use of the Website”</w:t>
      </w:r>
    </w:p>
    <w:p>
      <w:pPr>
        <w:pStyle w:val="Normal"/>
        <w:rPr>
          <w:color w:val="000000"/>
          <w:sz w:val="24"/>
        </w:rPr>
      </w:pPr>
      <w:r>
        <w:rPr>
          <w:color w:val="000000"/>
          <w:sz w:val="24"/>
        </w:rPr>
      </w:r>
    </w:p>
    <w:p>
      <w:pPr>
        <w:pStyle w:val="Normal"/>
        <w:rPr>
          <w:color w:val="000000"/>
          <w:sz w:val="24"/>
        </w:rPr>
      </w:pPr>
      <w:r>
        <w:rPr>
          <w:color w:val="000000"/>
          <w:sz w:val="24"/>
        </w:rPr>
        <w:t>Section 4(b) of the ETA is hereby amended by inserting the words “unless such access, entry or action arises from acts of Enron and its directors, officers, employees, agents or contractors” at the end of such Section.</w:t>
      </w:r>
    </w:p>
    <w:p>
      <w:pPr>
        <w:pStyle w:val="BodyText3"/>
        <w:jc w:val="both"/>
        <w:rPr>
          <w:color w:val="000000"/>
          <w:sz w:val="24"/>
        </w:rPr>
      </w:pPr>
      <w:r>
        <w:rPr>
          <w:color w:val="000000"/>
          <w:sz w:val="24"/>
        </w:rPr>
      </w:r>
    </w:p>
    <w:p>
      <w:pPr>
        <w:pStyle w:val="BodyText3"/>
        <w:jc w:val="both"/>
        <w:rPr/>
      </w:pPr>
      <w:r>
        <w:rPr/>
        <w:t xml:space="preserve">Section 4 of the ETA is hereby amended by inserting the following as a additional clause (c) : </w:t>
      </w:r>
      <w:r>
        <w:rPr>
          <w:rFonts w:cs="Book Antiqua" w:ascii="Book Antiqua" w:hAnsi="Book Antiqua"/>
          <w:caps/>
        </w:rPr>
        <w:t>“(C)  The limitation of liability, indemnities, limitation of remedies and exclusion of warranties set forth in this Agreement do not apply to any agreement or transaction entered into or which may be entered into between Enron and Counterparty which are not entered into through the Website.”</w:t>
      </w:r>
    </w:p>
    <w:p>
      <w:pPr>
        <w:pStyle w:val="Normal"/>
        <w:rPr>
          <w:rFonts w:ascii="Book Antiqua" w:hAnsi="Book Antiqua" w:cs="Book Antiqua"/>
          <w:caps/>
          <w:color w:val="000000"/>
          <w:sz w:val="24"/>
        </w:rPr>
      </w:pPr>
      <w:r>
        <w:rPr>
          <w:rFonts w:cs="Book Antiqua" w:ascii="Book Antiqua" w:hAnsi="Book Antiqua"/>
          <w:caps/>
          <w:color w:val="000000"/>
          <w:sz w:val="24"/>
        </w:rPr>
      </w:r>
    </w:p>
    <w:p>
      <w:pPr>
        <w:pStyle w:val="Normal"/>
        <w:jc w:val="both"/>
        <w:rPr>
          <w:color w:val="000000"/>
          <w:sz w:val="24"/>
        </w:rPr>
      </w:pPr>
      <w:r>
        <w:rPr>
          <w:color w:val="000000"/>
          <w:sz w:val="24"/>
        </w:rPr>
        <w:t xml:space="preserve">Section 6(a) of the ETA is hereby amended by inserting the following sentence at the end thereof:  “Enron shall use reasonable efforts to cancel Counterparty’s Master User password and/or user Ids upon receipt of notice from Counterparty requesting same in the manner set forth in the last sentence of Section 6(e).  If Counterparty provides notice to Enron requesting cancellation of its Master User password and/or user Ids by facsimile to (713) ______________ (or, alternatively in Enron’s sole discretion, by certified mail if so requested by Enron), Counterparty shall have no liability to Enron for any Transaction initiated after the effective date of the notice with the use of the master user password and/or user ID identified in such notice.  Notwithstanding anything in Section 6(e) to the contrary, for purposes of the preceding sentence, such notice shall be deemed effective five (5) days after its receipt by Enron.  Delivery by facsimile must be confirmed by a response printed by sender’s facsimile transmission equipment.”    </w:t>
      </w:r>
    </w:p>
    <w:p>
      <w:pPr>
        <w:pStyle w:val="Normal"/>
        <w:jc w:val="both"/>
        <w:rPr>
          <w:color w:val="000000"/>
          <w:sz w:val="24"/>
        </w:rPr>
      </w:pPr>
      <w:r>
        <w:rPr>
          <w:color w:val="000000"/>
          <w:sz w:val="24"/>
        </w:rPr>
      </w:r>
    </w:p>
    <w:p>
      <w:pPr>
        <w:pStyle w:val="Normal"/>
        <w:jc w:val="both"/>
        <w:rPr/>
      </w:pPr>
      <w:r>
        <w:rPr>
          <w:color w:val="000000"/>
          <w:sz w:val="24"/>
        </w:rPr>
        <w:t>Section 6(e) of the ETA is hereby amended to (a) add the phrase “Except as p</w:t>
      </w:r>
      <w:r>
        <w:rPr>
          <w:sz w:val="24"/>
        </w:rPr>
        <w:t xml:space="preserve">rovided in the last sentence of this Section” at the beginning thereof and (b) add the following at the end thereof: “Any notice sent by Counterparty to Enron pursuant to the last sentence of Section 6(a) of this Agreement shall be sent by facsimile transmission to Fax No. 713-345-8477; Attention: Product Control.” </w:t>
      </w:r>
    </w:p>
    <w:p>
      <w:pPr>
        <w:pStyle w:val="Normal"/>
        <w:rPr>
          <w:color w:val="000000"/>
          <w:sz w:val="22"/>
        </w:rPr>
      </w:pPr>
      <w:r>
        <w:rPr>
          <w:color w:val="000000"/>
          <w:sz w:val="22"/>
        </w:rPr>
        <w:t xml:space="preserve"> </w:t>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Kennecott Coal Sales Company</w:t>
      </w:r>
    </w:p>
    <w:p>
      <w:pPr>
        <w:pStyle w:val="Normal"/>
        <w:rPr>
          <w:sz w:val="24"/>
        </w:rPr>
      </w:pPr>
      <w:r>
        <w:rPr>
          <w:sz w:val="24"/>
        </w:rPr>
      </w:r>
    </w:p>
    <w:p>
      <w:pPr>
        <w:pStyle w:val="Normal"/>
        <w:rPr>
          <w:sz w:val="24"/>
        </w:rPr>
      </w:pPr>
      <w:r>
        <w:rPr>
          <w:sz w:val="24"/>
        </w:rPr>
      </w:r>
    </w:p>
    <w:p>
      <w:pPr>
        <w:pStyle w:val="Normal"/>
        <w:rPr>
          <w:sz w:val="24"/>
        </w:rPr>
      </w:pPr>
      <w:r>
        <w:rPr>
          <w:sz w:val="24"/>
        </w:rPr>
        <w:t>By:______________________</w:t>
      </w:r>
    </w:p>
    <w:p>
      <w:pPr>
        <w:pStyle w:val="Heading1"/>
        <w:ind w:hanging="0" w:start="0"/>
        <w:rPr/>
      </w:pPr>
      <w:r>
        <w:rPr/>
        <w:t>Name:___________________</w:t>
      </w:r>
    </w:p>
    <w:p>
      <w:pPr>
        <w:pStyle w:val="Heading1"/>
        <w:ind w:hanging="0" w:start="0"/>
        <w:rPr/>
      </w:pPr>
      <w:r>
        <w:rPr/>
        <w:t>Title:____________________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2000-07-24T17:22:00Z</dcterms:created>
  <dc:creator>mtaylo1</dc:creator>
  <dc:description/>
  <dc:language>en-CA</dc:language>
  <cp:lastModifiedBy>leslie hansen</cp:lastModifiedBy>
  <cp:lastPrinted>2000-07-24T14:55:00Z</cp:lastPrinted>
  <dcterms:modified xsi:type="dcterms:W3CDTF">2000-07-26T15:01:00Z</dcterms:modified>
  <cp:revision>5</cp:revision>
  <dc:subject/>
  <dc:title>J</dc:title>
</cp:coreProperties>
</file>