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pPr>
      <w:r>
        <w:rPr/>
        <w:t>February ___, 2000</w:t>
      </w:r>
    </w:p>
    <w:p>
      <w:pPr>
        <w:pStyle w:val="Heading1"/>
        <w:ind w:hanging="0" w:start="0"/>
        <w:rPr/>
      </w:pPr>
      <w:r>
        <w:rPr/>
      </w:r>
    </w:p>
    <w:p>
      <w:pPr>
        <w:pStyle w:val="Heading1"/>
        <w:ind w:hanging="0" w:start="0"/>
        <w:rPr/>
      </w:pPr>
      <w:r>
        <w:rPr/>
      </w:r>
    </w:p>
    <w:p>
      <w:pPr>
        <w:pStyle w:val="Heading1"/>
        <w:ind w:hanging="0" w:start="0"/>
        <w:rPr/>
      </w:pPr>
      <w:r>
        <w:rPr/>
      </w:r>
    </w:p>
    <w:p>
      <w:pPr>
        <w:pStyle w:val="Normal"/>
        <w:rPr>
          <w:sz w:val="24"/>
        </w:rPr>
      </w:pPr>
      <w:r>
        <w:rPr>
          <w:sz w:val="24"/>
        </w:rPr>
        <w:t>Kennecott Coal Sales Company</w:t>
      </w:r>
    </w:p>
    <w:p>
      <w:pPr>
        <w:pStyle w:val="Normal"/>
        <w:rPr>
          <w:sz w:val="24"/>
        </w:rPr>
      </w:pPr>
      <w:r>
        <w:rPr>
          <w:sz w:val="24"/>
        </w:rPr>
        <w:t>505 South Gillette Avenue</w:t>
      </w:r>
    </w:p>
    <w:p>
      <w:pPr>
        <w:pStyle w:val="Normal"/>
        <w:rPr>
          <w:sz w:val="24"/>
        </w:rPr>
      </w:pPr>
      <w:r>
        <w:rPr>
          <w:sz w:val="24"/>
        </w:rPr>
        <w:t>Gillette, Wyoming 82717-3009</w:t>
      </w:r>
    </w:p>
    <w:p>
      <w:pPr>
        <w:pStyle w:val="Normal"/>
        <w:rPr>
          <w:sz w:val="24"/>
        </w:rPr>
      </w:pPr>
      <w:r>
        <w:rPr>
          <w:sz w:val="24"/>
        </w:rPr>
      </w:r>
    </w:p>
    <w:p>
      <w:pPr>
        <w:pStyle w:val="Normal"/>
        <w:rPr>
          <w:sz w:val="24"/>
        </w:rPr>
      </w:pPr>
      <w:r>
        <w:rPr>
          <w:sz w:val="24"/>
        </w:rPr>
      </w:r>
    </w:p>
    <w:p>
      <w:pPr>
        <w:pStyle w:val="Normal"/>
        <w:rPr>
          <w:sz w:val="24"/>
        </w:rPr>
      </w:pPr>
      <w:r>
        <w:rPr>
          <w:sz w:val="24"/>
        </w:rPr>
        <w:t>Attention: Jim Sobule</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Jim:</w:t>
      </w:r>
    </w:p>
    <w:p>
      <w:pPr>
        <w:pStyle w:val="Normal"/>
        <w:rPr>
          <w:sz w:val="24"/>
        </w:rPr>
      </w:pPr>
      <w:r>
        <w:rPr>
          <w:sz w:val="24"/>
        </w:rPr>
      </w:r>
    </w:p>
    <w:p>
      <w:pPr>
        <w:pStyle w:val="Normal"/>
        <w:rPr>
          <w:sz w:val="24"/>
        </w:rPr>
      </w:pPr>
      <w:r>
        <w:rPr>
          <w:sz w:val="24"/>
        </w:rPr>
        <w:t>This letter will serve as our agreement to the following changes to the Electronic Trading Agreement (the “ETA”) which must be accepted by Kennecott Energy on the EnronOnline web site before using the site for trading:</w:t>
      </w:r>
    </w:p>
    <w:p>
      <w:pPr>
        <w:pStyle w:val="Normal"/>
        <w:rPr>
          <w:sz w:val="24"/>
        </w:rPr>
      </w:pPr>
      <w:r>
        <w:rPr>
          <w:sz w:val="24"/>
        </w:rPr>
      </w:r>
    </w:p>
    <w:p>
      <w:pPr>
        <w:pStyle w:val="BodyText2"/>
        <w:rPr/>
      </w:pPr>
      <w:r>
        <w:rPr/>
        <w:t>The second sentence of Section 2(b) of the ETA is hereby amended to read in its entirety as follows:  “Counterparty shall supply Enron with all information reasonably requested by Enron related to its access and use of the Website”</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Section 4(b) of the ETA is hereby amended by inserting the words “unless such access, entry, omission or action arises from acts or omissions of Enron and its directors, officers, employees, agents or contractors” at the end of such Section.</w:t>
      </w:r>
    </w:p>
    <w:p>
      <w:pPr>
        <w:pStyle w:val="BodyText3"/>
        <w:jc w:val="both"/>
        <w:rPr>
          <w:color w:val="000000"/>
          <w:sz w:val="24"/>
          <w:lang w:eastAsia="en-US"/>
        </w:rPr>
      </w:pPr>
      <w:r>
        <w:rPr>
          <w:color w:val="000000"/>
          <w:sz w:val="24"/>
          <w:lang w:eastAsia="en-US"/>
        </w:rPr>
      </w:r>
    </w:p>
    <w:p>
      <w:pPr>
        <w:pStyle w:val="BodyText3"/>
        <w:jc w:val="both"/>
        <w:rPr/>
      </w:pPr>
      <w:r>
        <w:rPr/>
        <w:t xml:space="preserve">Section 4 of the ETA is hereby amended by inserting the following as a additional clause (c) : </w:t>
      </w:r>
      <w:r>
        <w:rPr>
          <w:rFonts w:cs="Book Antiqua;Times New Roman" w:ascii="Book Antiqua;Times New Roman" w:hAnsi="Book Antiqua;Times New Roman"/>
          <w:b/>
          <w:caps/>
        </w:rPr>
        <w:t>“(C)  The limitation of liability, indemnities, limitation of remedies and exclusion of warranties set forth in this Agreement do not apply to any agreement or transaction entered into or which may be entered into between Enron and Counterparty which are not entered into through the Website.”</w:t>
      </w:r>
    </w:p>
    <w:p>
      <w:pPr>
        <w:pStyle w:val="Normal"/>
        <w:rPr>
          <w:rFonts w:ascii="Book Antiqua;Times New Roman" w:hAnsi="Book Antiqua;Times New Roman" w:cs="Book Antiqua;Times New Roman"/>
          <w:b/>
          <w:caps/>
          <w:color w:val="000000"/>
          <w:sz w:val="24"/>
          <w:lang w:eastAsia="en-US"/>
        </w:rPr>
      </w:pPr>
      <w:r>
        <w:rPr>
          <w:rFonts w:cs="Book Antiqua;Times New Roman" w:ascii="Book Antiqua;Times New Roman" w:hAnsi="Book Antiqua;Times New Roman"/>
          <w:b/>
          <w:caps/>
          <w:color w:val="000000"/>
          <w:sz w:val="24"/>
          <w:lang w:eastAsia="en-US"/>
        </w:rPr>
      </w:r>
    </w:p>
    <w:p>
      <w:pPr>
        <w:pStyle w:val="Normal"/>
        <w:jc w:val="both"/>
        <w:rPr>
          <w:b/>
          <w:color w:val="000000"/>
          <w:sz w:val="24"/>
          <w:lang w:eastAsia="en-US"/>
        </w:rPr>
      </w:pPr>
      <w:r>
        <w:rPr>
          <w:b/>
          <w:color w:val="000000"/>
          <w:sz w:val="24"/>
          <w:lang w:eastAsia="en-US"/>
        </w:rPr>
        <w:t>The language before the proviso in Section 6(a) of the ETA is hereby amended to read in its entirety as follows:  “This Agreement shall commence upon Enron’s issuance of a userID and Password to Counterparty and Counterparty’s first “clicking” on the designated spaces in this Agreement and shall remain in effect unless and until terminated by either party upon written notice to the other party in the manner set forth in Section 6(e), to take effect immediately (if Enron is terminating) and as provided in Section 6(e) (if Counterparty is terminating),”</w:t>
      </w:r>
    </w:p>
    <w:p>
      <w:pPr>
        <w:pStyle w:val="Normal"/>
        <w:jc w:val="both"/>
        <w:rPr>
          <w:b/>
          <w:color w:val="000000"/>
          <w:sz w:val="24"/>
          <w:lang w:eastAsia="en-US"/>
        </w:rPr>
      </w:pPr>
      <w:r>
        <w:rPr>
          <w:b/>
          <w:color w:val="000000"/>
          <w:sz w:val="24"/>
          <w:lang w:eastAsia="en-US"/>
        </w:rPr>
      </w:r>
    </w:p>
    <w:p>
      <w:pPr>
        <w:pStyle w:val="Normal"/>
        <w:jc w:val="both"/>
        <w:rPr/>
      </w:pPr>
      <w:r>
        <w:rPr>
          <w:b/>
          <w:color w:val="000000"/>
          <w:sz w:val="24"/>
          <w:lang w:eastAsia="en-US"/>
        </w:rPr>
        <w:t>Section 6(e) of the ETA is hereby amended to read in its entirety as follows</w:t>
      </w:r>
      <w:r>
        <w:rPr>
          <w:b/>
          <w:color w:val="000000"/>
          <w:sz w:val="22"/>
          <w:lang w:eastAsia="en-US"/>
        </w:rPr>
        <w:t>:   “</w:t>
      </w:r>
      <w:r>
        <w:rPr>
          <w:b/>
          <w:sz w:val="24"/>
        </w:rPr>
        <w:t xml:space="preserve">(e)  Except as provided below,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  Any termination notice sent by Counterparty to Enron pursuant to Section 6(a) of this Agreement shall be sent by facsimile transmission to Fax No. 713-345-8477; Attention: Product Control and such notice shall become effective three (3) Business Days after Enron’s receipt of such notice.” </w:t>
      </w:r>
    </w:p>
    <w:p>
      <w:pPr>
        <w:pStyle w:val="Normal"/>
        <w:rPr>
          <w:color w:val="000000"/>
          <w:sz w:val="22"/>
          <w:lang w:eastAsia="en-US"/>
        </w:rPr>
      </w:pPr>
      <w:r>
        <w:rPr>
          <w:color w:val="000000"/>
          <w:sz w:val="22"/>
          <w:lang w:eastAsia="en-US"/>
        </w:rPr>
        <w:t xml:space="preserve"> </w:t>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Kennecott Coal Sales Company</w:t>
      </w:r>
    </w:p>
    <w:p>
      <w:pPr>
        <w:pStyle w:val="Normal"/>
        <w:rPr>
          <w:sz w:val="24"/>
        </w:rPr>
      </w:pPr>
      <w:r>
        <w:rPr>
          <w:sz w:val="24"/>
        </w:rPr>
      </w:r>
    </w:p>
    <w:p>
      <w:pPr>
        <w:pStyle w:val="Normal"/>
        <w:rPr>
          <w:sz w:val="24"/>
        </w:rPr>
      </w:pPr>
      <w:r>
        <w:rPr>
          <w:sz w:val="24"/>
        </w:rPr>
      </w:r>
    </w:p>
    <w:p>
      <w:pPr>
        <w:pStyle w:val="Normal"/>
        <w:rPr>
          <w:sz w:val="24"/>
        </w:rPr>
      </w:pPr>
      <w:r>
        <w:rPr>
          <w:sz w:val="24"/>
        </w:rPr>
        <w:t>By:______________________</w:t>
      </w:r>
    </w:p>
    <w:p>
      <w:pPr>
        <w:pStyle w:val="Heading1"/>
        <w:ind w:hanging="0" w:start="0"/>
        <w:rPr/>
      </w:pPr>
      <w:r>
        <w:rPr/>
        <w:t>Name:___________________</w:t>
      </w:r>
    </w:p>
    <w:p>
      <w:pPr>
        <w:pStyle w:val="Heading1"/>
        <w:ind w:hanging="0" w:start="0"/>
        <w:rPr/>
      </w:pPr>
      <w:r>
        <w:rPr/>
        <w:t>Title:____________________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2000-02-24T17:42:00Z</dcterms:created>
  <dc:creator>mtaylo1</dc:creator>
  <dc:description/>
  <dc:language>en-CA</dc:language>
  <cp:lastModifiedBy>cstclai</cp:lastModifiedBy>
  <cp:lastPrinted>2000-02-24T15:45:00Z</cp:lastPrinted>
  <dcterms:modified xsi:type="dcterms:W3CDTF">2000-04-28T15:57:00Z</dcterms:modified>
  <cp:revision>6</cp:revision>
  <dc:subject/>
  <dc:title>J</dc:title>
</cp:coreProperties>
</file>