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Talking Points/Public Responses</w:t>
      </w:r>
    </w:p>
    <w:p>
      <w:pPr>
        <w:pStyle w:val="Normal"/>
        <w:rPr>
          <w:sz w:val="24"/>
        </w:rPr>
      </w:pPr>
      <w:r>
        <w:rPr>
          <w:sz w:val="24"/>
        </w:rPr>
      </w:r>
    </w:p>
    <w:p>
      <w:pPr>
        <w:pStyle w:val="Subtitle"/>
        <w:rPr/>
      </w:pPr>
      <w:r>
        <w:rPr/>
        <w:t>UC/CSU</w:t>
      </w:r>
    </w:p>
    <w:p>
      <w:pPr>
        <w:pStyle w:val="Normal"/>
        <w:rPr>
          <w:sz w:val="24"/>
        </w:rPr>
      </w:pPr>
      <w:r>
        <w:rPr>
          <w:sz w:val="24"/>
        </w:rPr>
        <w:t>Background: On April 11, U.S. District Court Phyllis Hamilton ruled that Enron must deliver power directly to UC/CSU and not use PG&amp;E and SCE as the source of that power.  Enron has filed an appeal with the Ninth Circuit Court of Appeals in San Francisco.  Prior to the appeal, the court is expected to hear arguments April 30 in our request to grant a stay of the U.S. District Court judge’s ruling.</w:t>
      </w:r>
    </w:p>
    <w:p>
      <w:pPr>
        <w:pStyle w:val="Normal"/>
        <w:rPr>
          <w:sz w:val="24"/>
        </w:rPr>
      </w:pPr>
      <w:r>
        <w:rPr>
          <w:sz w:val="24"/>
        </w:rPr>
      </w:r>
    </w:p>
    <w:p>
      <w:pPr>
        <w:pStyle w:val="Normal"/>
        <w:rPr>
          <w:sz w:val="24"/>
        </w:rPr>
      </w:pPr>
      <w:r>
        <w:rPr>
          <w:sz w:val="24"/>
        </w:rPr>
        <w:t>Statement: We’re disappointed in the judge’s ruling and do not agree with the decision.  We have filed an appeal and continue to believe that we are acting in accordance with our contract and in the best interest of UC/CSU.  Enron continues to honor the financial and other terms of our agreement with UC/CSU.  Despite the increasing wholesale electricity costs, the colleges are not paying any additional month for their power.</w:t>
      </w:r>
    </w:p>
    <w:p>
      <w:pPr>
        <w:pStyle w:val="Normal"/>
        <w:rPr>
          <w:sz w:val="24"/>
        </w:rPr>
      </w:pPr>
      <w:r>
        <w:rPr>
          <w:sz w:val="24"/>
        </w:rPr>
      </w:r>
    </w:p>
    <w:p>
      <w:pPr>
        <w:pStyle w:val="Normal"/>
        <w:rPr>
          <w:sz w:val="24"/>
        </w:rPr>
      </w:pPr>
      <w:r>
        <w:rPr>
          <w:sz w:val="24"/>
        </w:rPr>
        <w:t>We share UC/CSU’s goal of continued direct access availability in the state of California.  In fact, we have been working with UC/CSU to retain direct access as an option for all California consumers.  If recent legislation (AB1X) had not created the risk of suspension of direct access, we would not have a dispute with UC/CSU.  The current issue would be more easily resolved if the state legislature would clearly reinstate direct access in California.</w:t>
      </w:r>
    </w:p>
    <w:p>
      <w:pPr>
        <w:pStyle w:val="Normal"/>
        <w:rPr>
          <w:sz w:val="24"/>
        </w:rPr>
      </w:pPr>
      <w:r>
        <w:rPr>
          <w:sz w:val="24"/>
        </w:rPr>
      </w:r>
    </w:p>
    <w:p>
      <w:pPr>
        <w:pStyle w:val="Heading1"/>
        <w:ind w:hanging="0" w:start="0"/>
        <w:rPr/>
      </w:pPr>
      <w:r>
        <w:rPr/>
        <w:t xml:space="preserve">Creditors’ Committee </w:t>
      </w:r>
    </w:p>
    <w:p>
      <w:pPr>
        <w:pStyle w:val="Normal"/>
        <w:rPr>
          <w:sz w:val="24"/>
        </w:rPr>
      </w:pPr>
      <w:r>
        <w:rPr>
          <w:sz w:val="24"/>
        </w:rPr>
        <w:t>Background: Enron has been named as one of 11 creditors on the Unsecured Creditors’ Committee, which will assist PG&amp;E with its restructuring (the committee also includes Dynegy Power Marketing, Bank of New York, a group of banks headed by Bank of America, and Merrill Lynch).  The two co-chairs are Bank of America and PE Berkeley, Inc., which represents five QFs.  Michael Tribolet is Enron’s representative on the committee.</w:t>
      </w:r>
    </w:p>
    <w:p>
      <w:pPr>
        <w:pStyle w:val="Normal"/>
        <w:rPr>
          <w:sz w:val="24"/>
        </w:rPr>
      </w:pPr>
      <w:r>
        <w:rPr>
          <w:sz w:val="24"/>
        </w:rPr>
      </w:r>
    </w:p>
    <w:p>
      <w:pPr>
        <w:pStyle w:val="Normal"/>
        <w:rPr>
          <w:sz w:val="24"/>
        </w:rPr>
      </w:pPr>
      <w:r>
        <w:rPr>
          <w:sz w:val="24"/>
        </w:rPr>
        <w:t>Statement:  Enron has been named as one of 11 creditors on the Unsecured Creditors’ Committee, which will assist PG&amp;E with its restructuring.  The actions of the committee are confidential.</w:t>
      </w:r>
    </w:p>
    <w:p>
      <w:pPr>
        <w:pStyle w:val="Normal"/>
        <w:rPr>
          <w:sz w:val="24"/>
        </w:rPr>
      </w:pPr>
      <w:r>
        <w:rPr>
          <w:sz w:val="24"/>
        </w:rPr>
      </w:r>
    </w:p>
    <w:p>
      <w:pPr>
        <w:pStyle w:val="Heading1"/>
        <w:ind w:hanging="0" w:start="0"/>
        <w:rPr/>
      </w:pPr>
      <w:r>
        <w:rPr/>
        <w:t>PG&amp;E Exposure</w:t>
      </w:r>
    </w:p>
    <w:p>
      <w:pPr>
        <w:pStyle w:val="Normal"/>
        <w:rPr>
          <w:sz w:val="24"/>
        </w:rPr>
      </w:pPr>
      <w:r>
        <w:rPr>
          <w:sz w:val="24"/>
        </w:rPr>
        <w:t>Background: In seeking to be named to the Unsecured Creditors’ Committee, Enron sent a letter to the Department of Justice Trustee in the PG&amp;E bankruptcy filing that referenced a $570 million credit exposure. (The press reported a $580 million receivable).</w:t>
      </w:r>
    </w:p>
    <w:p>
      <w:pPr>
        <w:pStyle w:val="Normal"/>
        <w:rPr>
          <w:sz w:val="24"/>
        </w:rPr>
      </w:pPr>
      <w:r>
        <w:rPr>
          <w:sz w:val="24"/>
        </w:rPr>
      </w:r>
    </w:p>
    <w:p>
      <w:pPr>
        <w:pStyle w:val="Normal"/>
        <w:rPr>
          <w:sz w:val="24"/>
        </w:rPr>
      </w:pPr>
      <w:r>
        <w:rPr>
          <w:sz w:val="24"/>
        </w:rPr>
        <w:t xml:space="preserve">Statement:  We fully expect to be paid the amounts due us.  We have adequate reserves and other credit offsets in place to cover this exposure.  As we have said previously, we remain confident that the situation in California will have no material impact on our financial condition and no adverse impact on our 2001 earnings (target: $1.75 to $1.80 eps).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Windfall Profits Tax (SBX1)</w:t>
      </w:r>
    </w:p>
    <w:p>
      <w:pPr>
        <w:pStyle w:val="Normal"/>
        <w:rPr>
          <w:sz w:val="24"/>
        </w:rPr>
      </w:pPr>
      <w:r>
        <w:rPr>
          <w:sz w:val="24"/>
        </w:rPr>
        <w:t>Background:  SBX1 empowers the CPUC to engage in rate regulation of wholesale electricity sellers.  The bill establishes cost-based regulation of wholesale electricity sales by not distinguishing between wholesale and retail sales.  It sets a tax equal to 100% of the revenue earned by a seller of electricity over a CPUC established base price.  The bill also would impose tax collection duties on the ISO.  SBX1 identifies an intent to prevent electricity sellers from passing on the cost of the tax to customers in the form of increased prices.</w:t>
      </w:r>
    </w:p>
    <w:p>
      <w:pPr>
        <w:pStyle w:val="Normal"/>
        <w:rPr>
          <w:sz w:val="24"/>
        </w:rPr>
      </w:pPr>
      <w:r>
        <w:rPr>
          <w:sz w:val="24"/>
        </w:rPr>
      </w:r>
    </w:p>
    <w:p>
      <w:pPr>
        <w:pStyle w:val="Normal"/>
        <w:rPr>
          <w:sz w:val="24"/>
        </w:rPr>
      </w:pPr>
      <w:r>
        <w:rPr>
          <w:sz w:val="24"/>
        </w:rPr>
        <w:t xml:space="preserve">Statement:  Enron opposes SBX1, known as the “Windfall Profits Tax,” on two grounds:  one, that it does nothing to increase supply or decrease demand, provide customer choice or address the solvency of the utilities; and two, it is unconstitutional by encroaching on the federal regulation of wholesale electricity markets. FERC has exclusive jurisdiction over wholesale electricity sales, and FERC also is the only agency that has the ability to regulate the functions of the ISO that impact interstate and wholesale markets. </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2001-04-30T09:35:00Z</dcterms:created>
  <dc:creator>s_khopper</dc:creator>
  <dc:description/>
  <dc:language>en-CA</dc:language>
  <cp:lastModifiedBy>s_khopper</cp:lastModifiedBy>
  <cp:lastPrinted>2001-04-30T08:47:00Z</cp:lastPrinted>
  <dcterms:modified xsi:type="dcterms:W3CDTF">2001-04-30T11:17:00Z</dcterms:modified>
  <cp:revision>7</cp:revision>
  <dc:subject/>
  <dc:title>Enron Talking Points/Public Responses</dc:title>
</cp:coreProperties>
</file>