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STATUS AND ISSUES RELATING TO EUROPEAN ENERGY MARKET LIBERALSIATION</w:t>
      </w:r>
    </w:p>
    <w:p>
      <w:pPr>
        <w:pStyle w:val="Normal"/>
        <w:rPr/>
      </w:pPr>
      <w:r>
        <w:rPr/>
      </w:r>
    </w:p>
    <w:p>
      <w:pPr>
        <w:pStyle w:val="Heading1"/>
        <w:ind w:hanging="0" w:start="0"/>
        <w:rPr/>
      </w:pPr>
      <w:r>
        <w:rPr/>
        <w:t>Market Overview</w:t>
      </w:r>
    </w:p>
    <w:p>
      <w:pPr>
        <w:pStyle w:val="Normal"/>
        <w:rPr/>
      </w:pPr>
      <w:r>
        <w:rPr/>
      </w:r>
    </w:p>
    <w:p>
      <w:pPr>
        <w:pStyle w:val="Normal"/>
        <w:rPr/>
      </w:pPr>
      <w:r>
        <w:rPr/>
        <w:t>Enron estimates that the wholesale markets of the European Union (EU) for gas and power represent annual trade of $170 billion and $200 billion, respectively.  Adding in the already highly-integrated markets of such non-EU states as Switzerland and Norway, this represents a market larger than the United States, in aggregate.  This should also be seen in light of the increasing level of integration and energy trade between the EU and states to the East, particularly Poland, the Czech Republic, Hungary, and Slovenia.</w:t>
      </w:r>
    </w:p>
    <w:p>
      <w:pPr>
        <w:pStyle w:val="Normal"/>
        <w:rPr/>
      </w:pPr>
      <w:r>
        <w:rPr/>
      </w:r>
    </w:p>
    <w:p>
      <w:pPr>
        <w:pStyle w:val="Normal"/>
        <w:rPr/>
      </w:pPr>
      <w:r>
        <w:rPr/>
        <w:t xml:space="preserve">Thus, as a market for the types of energy price risk management services which Enron, and our many US competitors, are pre-eminent in providing, Western and Central Europe represents a huge opportunity for the expansion of our businesses, as those markets open up to cokmpetition and new entrants.  Enron today employs approximately 2000 people in Europe, with offices in London (our European headquarters), Madrid, Warsaw, Amsterdam, Oslo, Stockholm, Helsinki, Moscow, Milan, Brussels, and Frankfurt.  Other US firms with a significant presence in Europe include The Southern Companies, TXU, Reliant Energy, Dynegy, Aquila, and AEP, among others.  </w:t>
      </w:r>
    </w:p>
    <w:p>
      <w:pPr>
        <w:pStyle w:val="Normal"/>
        <w:rPr/>
      </w:pPr>
      <w:r>
        <w:rPr/>
      </w:r>
    </w:p>
    <w:p>
      <w:pPr>
        <w:pStyle w:val="Heading1"/>
        <w:ind w:hanging="0" w:start="0"/>
        <w:rPr/>
      </w:pPr>
      <w:r>
        <w:rPr/>
        <w:t>Recent Regulatory Developments</w:t>
      </w:r>
    </w:p>
    <w:p>
      <w:pPr>
        <w:pStyle w:val="Normal"/>
        <w:rPr/>
      </w:pPr>
      <w:r>
        <w:rPr/>
      </w:r>
    </w:p>
    <w:p>
      <w:pPr>
        <w:pStyle w:val="Normal"/>
        <w:rPr/>
      </w:pPr>
      <w:r>
        <w:rPr/>
        <w:t xml:space="preserve">Recently, the EU has undertaken to begin the market liberalisation process.  The first step was adoption by the European Commission (EC) of the Directive regarding the electricity market, in February 1997.  Member States had two years, or until February 1999, to transpose the Directive’s requirements into national law.  Subsequently, in June 1998, the EC adopted its Directive regarding gas market liberalisation, with Member States obligated to transpose the Directive’s requirements into national law by August 2000.  Each of these Directives provided for a progressive, though still not complete, market opening, as shown in the table below.  At the end of the term specified in the Directives, the Commission is committed to undertake a review of liberalisation efforts and results up to that point in time, with a view to deciding on appropriate further market liberalisation steps.  It should be noted, however, since the adoption of these Directives, there has been the recent summit of the EU, held in Lisbon earlier this year, at which Member States committed themselves to an accelerated market liberalisation.  However, no dates or levels of market opening were specified in the communiques that were issued.  It is worth noting that this initiative at accelerated market liberalisation was undertaken with the express view that Europe’s utility sector needed to do more to contribute to the competitiveness of Europe, a current source of concern in light of the continuing underperformance of the European economies relative to the US. </w:t>
      </w:r>
    </w:p>
    <w:p>
      <w:pPr>
        <w:pStyle w:val="Normal"/>
        <w:rPr/>
      </w:pPr>
      <w:r>
        <w:rPr/>
      </w:r>
    </w:p>
    <w:p>
      <w:pPr>
        <w:pStyle w:val="Normal"/>
        <w:rPr/>
      </w:pPr>
      <w:r>
        <w:rPr/>
        <w:tab/>
      </w:r>
      <w:r>
        <w:rPr>
          <w:u w:val="single"/>
        </w:rPr>
        <w:t>Required Minimum Market Opening Percentages</w:t>
      </w:r>
      <w:r>
        <w:rPr/>
        <w:t xml:space="preserve">    </w:t>
      </w:r>
    </w:p>
    <w:p>
      <w:pPr>
        <w:pStyle w:val="Normal"/>
        <w:rPr/>
      </w:pPr>
      <w:r>
        <w:rPr/>
      </w:r>
    </w:p>
    <w:p>
      <w:pPr>
        <w:pStyle w:val="Normal"/>
        <w:rPr/>
      </w:pPr>
      <w:r>
        <w:rPr/>
        <w:tab/>
        <w:t>1997</w:t>
        <w:tab/>
        <w:t>1998</w:t>
        <w:tab/>
        <w:t>2000</w:t>
        <w:tab/>
        <w:t>2003</w:t>
        <w:tab/>
        <w:t>2008</w:t>
      </w:r>
    </w:p>
    <w:p>
      <w:pPr>
        <w:pStyle w:val="Normal"/>
        <w:rPr/>
      </w:pPr>
      <w:r>
        <w:rPr/>
      </w:r>
    </w:p>
    <w:p>
      <w:pPr>
        <w:pStyle w:val="Normal"/>
        <w:rPr/>
      </w:pPr>
      <w:r>
        <w:rPr/>
        <w:t>Power</w:t>
        <w:tab/>
        <w:t>26.48%</w:t>
        <w:tab/>
        <w:tab/>
        <w:t>28%</w:t>
        <w:tab/>
        <w:t>33%</w:t>
      </w:r>
    </w:p>
    <w:p>
      <w:pPr>
        <w:pStyle w:val="Normal"/>
        <w:rPr/>
      </w:pPr>
      <w:r>
        <w:rPr/>
      </w:r>
    </w:p>
    <w:p>
      <w:pPr>
        <w:pStyle w:val="Normal"/>
        <w:rPr/>
      </w:pPr>
      <w:r>
        <w:rPr/>
        <w:t>Gas</w:t>
        <w:tab/>
        <w:tab/>
        <w:t>20%</w:t>
        <w:tab/>
        <w:tab/>
        <w:t>28%</w:t>
        <w:tab/>
        <w:t>33%</w:t>
      </w:r>
    </w:p>
    <w:p>
      <w:pPr>
        <w:pStyle w:val="Normal"/>
        <w:rPr/>
      </w:pPr>
      <w:r>
        <w:rPr/>
      </w:r>
    </w:p>
    <w:p>
      <w:pPr>
        <w:pStyle w:val="Normal"/>
        <w:rPr/>
      </w:pPr>
      <w:r>
        <w:rPr/>
        <w:t>(But note that Member States had two years from the effective date of the Directives within which to pass national legislation, thus, we generally think of market access beginning in 1999, for power, and in 2000, for gas.)</w:t>
        <w:tab/>
      </w:r>
    </w:p>
    <w:p>
      <w:pPr>
        <w:pStyle w:val="Normal"/>
        <w:rPr/>
      </w:pPr>
      <w:r>
        <w:rPr/>
      </w:r>
    </w:p>
    <w:p>
      <w:pPr>
        <w:pStyle w:val="Normal"/>
        <w:rPr/>
      </w:pPr>
      <w:r>
        <w:rPr/>
        <w:t>A number of the Member States have already opened their markets to competition in gas and power in advance of the adoption of these Directives, and still others have nominally opened their markets to a greater degree than the minimums specified in the Directives.  For example, retail competition down to the household level was already present in the United Kingdom (gas and power), Sweden (power), and Finland (power), as well as in Norway (power), which is not an EU Member State, before 1999.  Spain, Germany, and The Netherlands have also committed themselves to open their markets faster than the EC Directives require (although, as noted below, there is a wide gap between the level of competition that is possible, and the level of competition the national government claims is possible).  For example, in theory, retail competition in power, down to the household level, is possible today in Germany.</w:t>
      </w:r>
    </w:p>
    <w:p>
      <w:pPr>
        <w:pStyle w:val="Normal"/>
        <w:rPr/>
      </w:pPr>
      <w:r>
        <w:rPr/>
      </w:r>
    </w:p>
    <w:p>
      <w:pPr>
        <w:pStyle w:val="Normal"/>
        <w:rPr/>
      </w:pPr>
      <w:r>
        <w:rPr/>
        <w:t>In addition, the other significant Western European country that is not a member of the EU, Switzerland, has under active consideration measures to liberalise its power market.  Further, at the recent Lisbon Summit, the EU tasked three Commissioners to lead the EU’s efforts at making the electricity laws of Switzerland compatible with the EU’s requirements.</w:t>
      </w:r>
    </w:p>
    <w:p>
      <w:pPr>
        <w:pStyle w:val="Normal"/>
        <w:rPr/>
      </w:pPr>
      <w:r>
        <w:rPr/>
      </w:r>
    </w:p>
    <w:p>
      <w:pPr>
        <w:pStyle w:val="Normal"/>
        <w:rPr/>
      </w:pPr>
      <w:r>
        <w:rPr/>
        <w:t>The Directives of the European Commission are characterised by a rather high level of generality, leaving it to the Member States, pursuant to the doctrine of “subsidiarity” (somewhat akin to our notion of federalism), to adopt specific measures compatible with the industry structure, as well as with national customs and culture.  For example, on a pint we in the United States might consider fundamental, the establishment of an energy regulatory body, member States are free to choose not to have one, as Germany has done.  Elsewhere, the energy regulators do not enjoy the same level of independence as, for example, our own Federal Energy Regulatory Commission (FERC).  In a number of cases, the Ministry of Industry, or of Finance or the Treasury, still wields much influence over the policy-making activities of the energy regulator.</w:t>
      </w:r>
    </w:p>
    <w:p>
      <w:pPr>
        <w:pStyle w:val="Normal"/>
        <w:rPr/>
      </w:pPr>
      <w:r>
        <w:rPr/>
      </w:r>
    </w:p>
    <w:p>
      <w:pPr>
        <w:pStyle w:val="Normal"/>
        <w:rPr/>
      </w:pPr>
      <w:r>
        <w:rPr/>
        <w:t xml:space="preserve">Similarly, Member States are free to choose between regimes of negotiated third-party access (NTPA), somewhat analogous to the situation that existed in the US power industry following adoption of the Energy Policy Act of 1992 (EPACT), or a regime of regulated third-party access (RTPA), which would more closely resemble the US energy industry following FERC’s adoption of Order Nos. 636 (gas) and 888 (power).  And, as I note below, many of the same problems observed following EPACT, which compelled the FERC to adopt Order No. 888, are evident in the European energy sector, a point I will return to below.       </w:t>
      </w:r>
    </w:p>
    <w:p>
      <w:pPr>
        <w:pStyle w:val="Normal"/>
        <w:rPr/>
      </w:pPr>
      <w:r>
        <w:rPr/>
      </w:r>
    </w:p>
    <w:p>
      <w:pPr>
        <w:pStyle w:val="Normal"/>
        <w:rPr/>
      </w:pPr>
      <w:r>
        <w:rPr/>
        <w:t>Finally, some of the Member States have failed to meet even the initial deadlines for transposition of the Directives into national law, with France being the most glaring example.  France did not pass such legislation until early this year, and only appointed its energy regulator a few weeks ago.  That regulator now must promulgate 38 different decrees before the first stage of market liberalisation can even be said to be fully in place.  Similarly, it appears that both France and Germany will be late in transposing the Gas Directive into national law (originally due to be in place by this August).</w:t>
      </w:r>
    </w:p>
    <w:p>
      <w:pPr>
        <w:pStyle w:val="Normal"/>
        <w:rPr/>
      </w:pPr>
      <w:r>
        <w:rPr/>
      </w:r>
    </w:p>
    <w:p>
      <w:pPr>
        <w:pStyle w:val="Heading1"/>
        <w:ind w:hanging="0" w:start="0"/>
        <w:rPr/>
      </w:pPr>
      <w:r>
        <w:rPr/>
        <w:t>Industry Structures Differ Widely Among the Member States</w:t>
      </w:r>
    </w:p>
    <w:p>
      <w:pPr>
        <w:pStyle w:val="Normal"/>
        <w:rPr/>
      </w:pPr>
      <w:r>
        <w:rPr/>
      </w:r>
    </w:p>
    <w:p>
      <w:pPr>
        <w:pStyle w:val="Normal"/>
        <w:rPr/>
      </w:pPr>
      <w:r>
        <w:rPr/>
        <w:t xml:space="preserve">Although there is a loosely shared vision regarding increasing market liberalisation, it cannot be emphasised enough that the Member State’s are starting in many cases from very different points from each other.  Because the doctrine of subsidiarity permits them to reflect these differences in the national legislation they adopt to liberalise their markets, there may be very big differences in the way these markets begin to liberalise, and as they evolve.  This will affect the pace at which business practices eventually achieve the necessary harmonisation, and thus, the pace at which the vision of Europe achieving a “single market” in energy can be realised. </w:t>
      </w:r>
    </w:p>
    <w:p>
      <w:pPr>
        <w:pStyle w:val="Normal"/>
        <w:rPr/>
      </w:pPr>
      <w:r>
        <w:rPr/>
      </w:r>
    </w:p>
    <w:p>
      <w:pPr>
        <w:pStyle w:val="Normal"/>
        <w:rPr/>
      </w:pPr>
      <w:r>
        <w:rPr/>
        <w:t xml:space="preserve">For example, the French show no signs of privatising their national electric utility monopoly, Electricite de France (EdF).  This vertically-integrated monopoly extends all the way down to the end-user, such that there are very few independent distribution companies in France.  In the wholesale markets in the US, these distribution companies are important players in the now vibrant wholesale market.  </w:t>
      </w:r>
    </w:p>
    <w:p>
      <w:pPr>
        <w:pStyle w:val="Normal"/>
        <w:rPr/>
      </w:pPr>
      <w:r>
        <w:rPr/>
      </w:r>
    </w:p>
    <w:p>
      <w:pPr>
        <w:pStyle w:val="Normal"/>
        <w:rPr/>
      </w:pPr>
      <w:r>
        <w:rPr/>
        <w:t xml:space="preserve">Another relevant aspect of this state ownership is EdF’s low cost of capital, in the form of equity provided by the national government (taxpayers), and its ability to enjoy a credit risk status approximate to that of sovereign risk.  Indeed, one consultant in the United Kingdom reviewed the credit ratings of a large number of utilities around the world, and found that only EdF, and our own Tennessee Valley Authority (TVA), enjoyed AAA credit ratings.  With this low cost of capital, EdF has been acquiring assets around Europe, at the same time that its own market has remained closed to new entrants.  This in turn has given rise to defensive, nationalistic tendencies in other European energy markets, such that an unhealthy consolidation is occurring in some markets, implicitly as a necessary response to be able to compete with the French giant.  This concentration of the market is completely antithetical to delivering choice and competition to consumers. </w:t>
      </w:r>
    </w:p>
    <w:p>
      <w:pPr>
        <w:pStyle w:val="Normal"/>
        <w:rPr/>
      </w:pPr>
      <w:r>
        <w:rPr/>
      </w:r>
    </w:p>
    <w:p>
      <w:pPr>
        <w:pStyle w:val="Normal"/>
        <w:rPr/>
      </w:pPr>
      <w:r>
        <w:rPr/>
        <w:t>As to other industry structures, in Germany, where some of the afore-mentioned consolidation is occurring, there are a handful of large, vertically-integrated utilities, who in turn sell to either regional utilities, or to the 900 “Stadtwerke” (literally “municipal works”, or municipal utility companies).  In Spain, the market is dominated by four large generation companies, insulated from much outside competition due to the low level of electricity interconnection (900 MW) to the north.  As a result, prices in the Spanish power pool reflect the fact of this oligopoly, being substantially above the cost of new entry generation.  And finally, just by way of example, Italy is in the process of privatising its formerly state-owned utility, ENEL.  They, in turn, are confronted with the dilemma (indeed, a true conflict of interest, as an owner) of privatising ENEL in such a way as to achieve a highly competitive market (and, thus, a less attractive business proposition for new investors), or to privatise by creating a few companies, with oligopoly pricing power, which will yield higher revenues to the state Treasury.</w:t>
      </w:r>
    </w:p>
    <w:p>
      <w:pPr>
        <w:pStyle w:val="Normal"/>
        <w:rPr/>
      </w:pPr>
      <w:r>
        <w:rPr/>
      </w:r>
    </w:p>
    <w:p>
      <w:pPr>
        <w:pStyle w:val="Normal"/>
        <w:rPr/>
      </w:pPr>
      <w:r>
        <w:rPr/>
        <w:t>To summarise, and without being patronising, it is important not to think of Europe as embarking upon this liberalisation voyage from any common starting point, nor do they necessarily have similar or aligned interests from which they are trying to pursue this shared vision of a “single market”.</w:t>
      </w:r>
    </w:p>
    <w:p>
      <w:pPr>
        <w:pStyle w:val="Normal"/>
        <w:rPr/>
      </w:pPr>
      <w:r>
        <w:rPr/>
      </w:r>
    </w:p>
    <w:p>
      <w:pPr>
        <w:pStyle w:val="Heading1"/>
        <w:ind w:hanging="0" w:start="0"/>
        <w:rPr/>
      </w:pPr>
      <w:r>
        <w:rPr/>
        <w:t>Representative Issues in the European Energy Market</w:t>
      </w:r>
    </w:p>
    <w:p>
      <w:pPr>
        <w:pStyle w:val="Normal"/>
        <w:rPr/>
      </w:pPr>
      <w:r>
        <w:rPr/>
      </w:r>
    </w:p>
    <w:p>
      <w:pPr>
        <w:pStyle w:val="Normal"/>
        <w:rPr/>
      </w:pPr>
      <w:r>
        <w:rPr/>
        <w:t>Interestingly, many of the issues Enron confronts in Continental Europe are issues that we have confronted in the US and the United Kingdom, when those markets deregulated their gas and power sectors.  Unfortunately, antipathy for “Anglo-Saxon” ways has often caused these governments to choose to turn a blind eye to our own experiences, and thus many of the arguments we are now making in Europe will be familiar ground to many in the US.  A few examples follow.</w:t>
      </w:r>
    </w:p>
    <w:p>
      <w:pPr>
        <w:pStyle w:val="Normal"/>
        <w:rPr/>
      </w:pPr>
      <w:r>
        <w:rPr/>
      </w:r>
    </w:p>
    <w:p>
      <w:pPr>
        <w:pStyle w:val="Normal"/>
        <w:rPr/>
      </w:pPr>
      <w:r>
        <w:rPr/>
        <w:t>First, in many of these markets, separation of functions between the operation of the power grid (such management separation is not even required under the terms of the Gas Directive), from the activity of the commodity or merchant supply business, has not taken place either formally, or, certainly, not effectively.  Examples where this is the case include France, Germany, the Netherlands, and Italy.  Moreover, even fewer countries have imposed penalties for breach of the requirement to separate these functions.  As a consequence, information Enron provides to the grid operator often, and quickly, finds it s way into the hands of our competitors, and our competitors often receive market-sensitive information from the grid operator affiliates, giving them a competitive edge.</w:t>
      </w:r>
    </w:p>
    <w:p>
      <w:pPr>
        <w:pStyle w:val="Normal"/>
        <w:rPr/>
      </w:pPr>
      <w:r>
        <w:rPr/>
      </w:r>
    </w:p>
    <w:p>
      <w:pPr>
        <w:pStyle w:val="Normal"/>
        <w:rPr/>
      </w:pPr>
      <w:r>
        <w:rPr/>
        <w:t xml:space="preserve">Second, in those markets where the NTPA model has been chosen, we face not only the high transaction costs, and impaired market liquidity, but also the obviously and inherently discriminatory aspect of having different, and sometimes materially different, terms and conditions of service, e.g., German power and gas, Dutch gas.  Even in those markets that have adopted the RTPA model, unlike in the US, this obligation only requires, in most cases, the posting of a set of common terms and conditions of service.  Thus, there is no a priori approval by the energy regulator.  As a consequence, in many cases, the published terms and conditions are unreasonable (e.g., penalty levels), and often even lacking terms and conditions that commodity merchants would consider commercially significant. </w:t>
      </w:r>
    </w:p>
    <w:p>
      <w:pPr>
        <w:pStyle w:val="Normal"/>
        <w:rPr/>
      </w:pPr>
      <w:r>
        <w:rPr/>
      </w:r>
    </w:p>
    <w:p>
      <w:pPr>
        <w:pStyle w:val="Normal"/>
        <w:rPr/>
      </w:pPr>
      <w:r>
        <w:rPr/>
        <w:t xml:space="preserve">Third, many of the energy regulators are new to their responsibilities, and indeed, the organisations are newly-created, so that there remains much uncertainty and even caution about how these new powers should be wielded.  It is fair to say that the kind of assault on incumbents that has characterised the United States’ energy deregulatory efforts has been absent.  For example, the French regulator was only created this Spring.  The Dutch regulator is an institution that is less than three years old.  Belgium’s energy regulator was only established last year.  And, as noted, any complaints about the conduct of the utilities in Germany must be taken to the Federal Cartel Office (the equivalent of our Federal Trade Commission), or to the courts.  While we are extremely impressed with the calibre of the civil servants that work on these issues, they are all on very steep learning curves, as they depart from their historic views and historic ways of doing business.  </w:t>
      </w:r>
    </w:p>
    <w:p>
      <w:pPr>
        <w:pStyle w:val="Normal"/>
        <w:rPr/>
      </w:pPr>
      <w:r>
        <w:rPr/>
      </w:r>
    </w:p>
    <w:p>
      <w:pPr>
        <w:pStyle w:val="Heading1"/>
        <w:ind w:hanging="0" w:start="0"/>
        <w:rPr/>
      </w:pPr>
      <w:r>
        <w:rPr/>
        <w:t>Conclusion</w:t>
      </w:r>
    </w:p>
    <w:p>
      <w:pPr>
        <w:pStyle w:val="Normal"/>
        <w:rPr>
          <w:u w:val="single"/>
        </w:rPr>
      </w:pPr>
      <w:r>
        <w:rPr>
          <w:u w:val="single"/>
        </w:rPr>
      </w:r>
    </w:p>
    <w:p>
      <w:pPr>
        <w:pStyle w:val="Normal"/>
        <w:rPr/>
      </w:pPr>
      <w:r>
        <w:rPr/>
        <w:t xml:space="preserve"> </w:t>
      </w:r>
      <w:r>
        <w:rPr/>
        <w:t xml:space="preserve">Liberalised or deregulated energy markets are markets in which US firms can successfully participate, benefiting from our own early initiatives in this direction.  The European market represents an energy market that is larger than that of the United States, and thus is one of the real areas of opportunity for US firms.  Europe’s economy, too, will benefit from a more competitive and efficient energy sector.  However, much work remains to be done, and the pace of this work is likely to be slower than we might desire, owing to institutional and cultural experiences that vary widely across the European landscape, and which often are not susceptible to harmonisation and the achievement of a “single market”.            </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t xml:space="preserve">       </w:t>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2000-06-02T13:35:00Z</dcterms:created>
  <dc:creator>MSchroed</dc:creator>
  <dc:description/>
  <dc:language>en-CA</dc:language>
  <cp:lastModifiedBy>MSchroed</cp:lastModifiedBy>
  <dcterms:modified xsi:type="dcterms:W3CDTF">2000-06-02T13:35:00Z</dcterms:modified>
  <cp:revision>2</cp:revision>
  <dc:subject/>
  <dc:title>STATUS AND ISSUES RELATING TO EUROPEAN ENERGY MARKET LIBERALSIATION</dc:title>
</cp:coreProperties>
</file>