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May 24,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Document Department</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877-1394</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VC0975.1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September 1, 1994</w:t>
      </w:r>
      <w:r>
        <w:rPr>
          <w:rFonts w:cs="Times New Roman" w:ascii="Times New Roman" w:hAnsi="Times New Roman"/>
        </w:rPr>
        <w:fldChar w:fldCharType="end"/>
      </w:r>
      <w:r>
        <w:rPr>
          <w:rFonts w:cs="Times New Roman" w:ascii="Times New Roman" w:hAnsi="Times New Roman"/>
        </w:rPr>
        <w:t xml:space="preserve"> as amended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  Terms used but not otherwised defined herein shall have the meanings given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May 24, 2001</w:t>
      </w:r>
      <w:r>
        <w:rPr>
          <w:i/>
          <w:rFonts w:cs="Times New Roman" w:ascii="Times New Roman" w:hAnsi="Times New Roman"/>
        </w:rPr>
        <w:fldChar w:fldCharType="end"/>
      </w:r>
      <w:r>
        <w:rPr>
          <w:rFonts w:cs="Times New Roman" w:ascii="Times New Roman" w:hAnsi="Times New Roman"/>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QtyPerPeriod </w:instrText>
            </w:r>
            <w:r>
              <w:rPr>
                <w:rFonts w:cs="Times New Roman" w:ascii="Times New Roman" w:hAnsi="Times New Roman"/>
              </w:rPr>
              <w:fldChar w:fldCharType="separate"/>
            </w:r>
            <w:r>
              <w:rPr>
                <w:rFonts w:cs="Times New Roman" w:ascii="Times New Roman" w:hAnsi="Times New Roman"/>
              </w:rPr>
              <w:t>See Attachment</w:t>
            </w:r>
            <w:r>
              <w:rPr>
                <w:rFonts w:cs="Times New Roman" w:ascii="Times New Roman" w:hAnsi="Times New Roman"/>
              </w:rPr>
              <w:fldChar w:fldCharType="end"/>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Natural Gas</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June 01,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May 31, 2003</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DeterminationPeriod </w:instrText>
            </w:r>
            <w:r>
              <w:rPr>
                <w:rFonts w:cs="Times New Roman" w:ascii="Times New Roman" w:hAnsi="Times New Roman"/>
              </w:rPr>
              <w:fldChar w:fldCharType="separate"/>
            </w:r>
            <w:r>
              <w:rPr>
                <w:rFonts w:cs="Times New Roman" w:ascii="Times New Roman" w:hAnsi="Times New Roman"/>
              </w:rPr>
              <w:t>Each calendar month beginning with June 01, 2001 and ending on May 31, 2003.</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PaymentDates </w:instrText>
            </w:r>
            <w:r>
              <w:rPr>
                <w:rFonts w:cs="Times New Roman" w:ascii="Times New Roman" w:hAnsi="Times New Roman"/>
              </w:rPr>
              <w:fldChar w:fldCharType="separate"/>
            </w:r>
            <w:r>
              <w:rPr>
                <w:rFonts w:cs="Times New Roman" w:ascii="Times New Roman" w:hAnsi="Times New Roman"/>
              </w:rPr>
              <w:t>The fifth (5th) Business Day following the date on which the Floating Price is determinable</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$4.25500 per MMBtu</w:t>
            </w:r>
            <w:r>
              <w:rPr>
                <w:rFonts w:cs="Times New Roman" w:ascii="Times New Roman" w:hAnsi="Times New Roman"/>
              </w:rPr>
              <w:fldChar w:fldCharType="end"/>
            </w:r>
          </w:p>
        </w:tc>
      </w:tr>
    </w:tbl>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average of the daily settlement prices for the last three (3) scheduled Trading Days of the NYMEX Henry Hub Natural Gas Futures Contract for the applicable Determination Period</w:t>
            </w:r>
            <w:r>
              <w:rPr>
                <w:rFonts w:cs="Times New Roman" w:ascii="Times New Roman" w:hAnsi="Times New Roman"/>
              </w:rPr>
              <w:fldChar w:fldCharType="end"/>
            </w:r>
          </w:p>
        </w:tc>
      </w:tr>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AlternatePriceLit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AlternatePrice </w:instrText>
            </w:r>
            <w:r>
              <w:rPr>
                <w:rFonts w:cs="Times New Roman" w:ascii="Times New Roman" w:hAnsi="Times New Roman"/>
              </w:rPr>
              <w:fldChar w:fldCharType="separate"/>
            </w:r>
            <w:r>
              <w:rPr>
                <w:rFonts w:cs="Times New Roman" w:ascii="Times New Roman" w:hAnsi="Times New Roman"/>
              </w:rPr>
              <w:t xml:space="preserve"> </w:t>
            </w:r>
            <w:r>
              <w:rPr>
                <w:rFonts w:cs="Times New Roman" w:ascii="Times New Roman" w:hAnsi="Times New Roman"/>
              </w:rPr>
              <w:fldChar w:fldCharType="end"/>
            </w:r>
          </w:p>
        </w:tc>
      </w:tr>
    </w:tbl>
    <w:p>
      <w:pPr>
        <w:pStyle w:val="Normal"/>
        <w:rPr>
          <w:rFonts w:ascii="Times New Roman" w:hAnsi="Times New Roman" w:cs="Times New Roman"/>
          <w:b/>
          <w:bCs/>
        </w:rPr>
      </w:pPr>
      <w:r>
        <w:rPr>
          <w:rFonts w:cs="Times New Roman" w:ascii="Times New Roman" w:hAnsi="Times New Roman"/>
          <w:b/>
          <w:bCs/>
        </w:rPr>
        <w:t>Additional Provisions:</w:t>
      </w:r>
    </w:p>
    <w:p>
      <w:pPr>
        <w:pStyle w:val="Normal"/>
        <w:rPr>
          <w:rFonts w:ascii="Times New Roman" w:hAnsi="Times New Roman" w:cs="Times New Roman"/>
          <w:b/>
          <w:bCs/>
        </w:rPr>
      </w:pPr>
      <w:r>
        <w:rPr>
          <w:rFonts w:cs="Times New Roman" w:ascii="Times New Roman" w:hAnsi="Times New Roman"/>
          <w:b/>
          <w:bCs/>
        </w:rPr>
      </w:r>
    </w:p>
    <w:p>
      <w:pPr>
        <w:pStyle w:val="Normal"/>
        <w:numPr>
          <w:ilvl w:val="0"/>
          <w:numId w:val="2"/>
        </w:numPr>
        <w:rPr>
          <w:rFonts w:ascii="Times New Roman" w:hAnsi="Times New Roman" w:cs="Times New Roman"/>
        </w:rPr>
      </w:pPr>
      <w:r>
        <w:rPr>
          <w:rFonts w:cs="Times New Roman" w:ascii="Times New Roman" w:hAnsi="Times New Roman"/>
        </w:rPr>
        <w:t>Unilateral Right of Termination.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parties agree that if by 5:00 p.m. on June 15, 2001, as such date may be mutually amended (the “Closing Time”), KCS Resources, Inc. and ENA, or their designees, have not executed definitive agreements for the purchase and sale of a term overriding royalty (the “ORRI”) in accordance with the terms and conditions of the Letter of Understanding dated May 23, 2001 executed by KCS Resources, Inc. and ENA on (the “LOU”), which Letter of Understanding is incorporated by reference herein, then ENA shall have the unilateral right to terminate this Transaction and ENA Commodity Swap VC0917.1 (collectively the “Two Transactions”), subject to the following conditions:</w:t>
      </w:r>
    </w:p>
    <w:p>
      <w:pPr>
        <w:pStyle w:val="Normal"/>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Within two (2) Business Days following the Closing Time, ENA shall notify Counterparty of its intention to terminate this Transaction by giving telephonic or written notice to Counterparty, said termination to be effective as of the Closing Time.</w:t>
      </w:r>
    </w:p>
    <w:p>
      <w:pPr>
        <w:pStyle w:val="Normal"/>
        <w:ind w:start="1080" w:end="0"/>
        <w:rPr>
          <w:rFonts w:ascii="Times New Roman" w:hAnsi="Times New Roman" w:cs="Times New Roman"/>
        </w:rPr>
      </w:pPr>
      <w:r>
        <w:rPr>
          <w:rFonts w:cs="Times New Roman" w:ascii="Times New Roman" w:hAnsi="Times New Roman"/>
        </w:rPr>
      </w:r>
    </w:p>
    <w:p>
      <w:pPr>
        <w:pStyle w:val="Normal"/>
        <w:numPr>
          <w:ilvl w:val="1"/>
          <w:numId w:val="2"/>
        </w:numPr>
        <w:rPr>
          <w:rFonts w:ascii="Times New Roman" w:hAnsi="Times New Roman" w:cs="Times New Roman"/>
        </w:rPr>
      </w:pPr>
      <w:r>
        <w:rPr>
          <w:rFonts w:cs="Times New Roman" w:ascii="Times New Roman" w:hAnsi="Times New Roman"/>
        </w:rPr>
        <w:t>Notwithstanding any other provision contained in the Agreement, the settlement amount for termination of this Transaction shall be determined with respect to the Closing Time (an “Early Termination Date” for purposes of “Loss” as defined in the Agreement) as follows:</w:t>
      </w:r>
    </w:p>
    <w:p>
      <w:pPr>
        <w:pStyle w:val="Normal"/>
        <w:rPr>
          <w:rFonts w:ascii="Times New Roman" w:hAnsi="Times New Roman" w:cs="Times New Roman"/>
        </w:rPr>
      </w:pPr>
      <w:r>
        <w:rPr>
          <w:rFonts w:cs="Times New Roman" w:ascii="Times New Roman" w:hAnsi="Times New Roman"/>
        </w:rPr>
      </w:r>
    </w:p>
    <w:p>
      <w:pPr>
        <w:pStyle w:val="BodyTextIndent"/>
        <w:rPr>
          <w:sz w:val="22"/>
        </w:rPr>
      </w:pPr>
      <w:r>
        <w:rPr>
          <w:sz w:val="22"/>
        </w:rPr>
        <w:t>ENA shall in good faith calculate its Gain, or Loss and Costs resulting from the termination of the parties’ obligations with respect to the unwind of the Two Transactions.  If ENA’s aggregate Losses and Costs exceed its aggregate Gains, if any, resulting from the termination, Counterparty shall, within five (5) days of receipt of such notice, pay such excess to ENA, which amount shall bear interest at the Default Rate from (and including) the Closing Time to (but excluding) the date of payment.  If ENA’s aggregate Gains exceed its aggregate Losses and Cost, if any, resulting from the termination, ENA shall pay 75% of such excess to Counterparty within five (5) days of receipt by Counterparty of ENA’s notice given above, which amount shall bear interest at the Interest Rate from (and including) the Closing Date to (but excluding) the date of payment.</w:t>
      </w:r>
    </w:p>
    <w:p>
      <w:pPr>
        <w:pStyle w:val="Normal"/>
        <w:rPr>
          <w:rFonts w:ascii="Times New Roman" w:hAnsi="Times New Roman" w:cs="Times New Roman"/>
          <w:sz w:val="22"/>
        </w:rPr>
      </w:pPr>
      <w:r>
        <w:rPr>
          <w:rFonts w:cs="Times New Roman" w:ascii="Times New Roman" w:hAnsi="Times New Roman"/>
          <w:sz w:val="22"/>
        </w:rPr>
      </w:r>
    </w:p>
    <w:p>
      <w:pPr>
        <w:pStyle w:val="Normal"/>
        <w:numPr>
          <w:ilvl w:val="0"/>
          <w:numId w:val="2"/>
        </w:numPr>
        <w:rPr>
          <w:rFonts w:ascii="Times New Roman" w:hAnsi="Times New Roman" w:cs="Times New Roman"/>
        </w:rPr>
      </w:pPr>
      <w:r>
        <w:rPr>
          <w:rFonts w:cs="Times New Roman" w:ascii="Times New Roman" w:hAnsi="Times New Roman"/>
        </w:rPr>
        <w:t>Collateral Annex.</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For purposes only of the Two Transactions as defined hereinabove, the provisions of Annex A, Collateral Annex, to the Agreement (the “Collateral Annex”) shall </w:t>
      </w:r>
      <w:r>
        <w:rPr>
          <w:rFonts w:cs="Times New Roman" w:ascii="Times New Roman" w:hAnsi="Times New Roman"/>
          <w:u w:val="single"/>
        </w:rPr>
        <w:t>not</w:t>
      </w:r>
      <w:r>
        <w:rPr>
          <w:rFonts w:cs="Times New Roman" w:ascii="Times New Roman" w:hAnsi="Times New Roman"/>
        </w:rPr>
        <w:t xml:space="preserve"> include the Two Transactions, but rather, the Two Transactions shall be deemed to be subject to an independent set of collateral and exposure provisions identical to the Collateral Annex, except that the definition of “Exposure Threshold” shall be amended to read:</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w:t>
      </w:r>
      <w:r>
        <w:rPr>
          <w:rFonts w:cs="Times New Roman" w:ascii="Times New Roman" w:hAnsi="Times New Roman"/>
        </w:rPr>
        <w:t>Exposure Threshold” shall mean, with respect to (i) ENA, none, and (ii) Counterparty, $250,000; provided, however, that the Exposure Threshold for a party shall be zero upon the occurrence and during the continuance of a Material Adverse Change or an Event of Default (or event that would constitute an Event of Default with the lapse of time or giving of notice or both) with respect to such party.</w:t>
      </w:r>
      <w:r>
        <w:rPr/>
        <w:t xml:space="preserve"> </w:t>
      </w:r>
    </w:p>
    <w:p>
      <w:pPr>
        <w:pStyle w:val="Normal"/>
        <w:rPr/>
      </w:pPr>
      <w:r>
        <w:rPr/>
      </w:r>
    </w:p>
    <w:p>
      <w:pPr>
        <w:pStyle w:val="Normal"/>
        <w:numPr>
          <w:ilvl w:val="0"/>
          <w:numId w:val="2"/>
        </w:numPr>
        <w:rPr/>
      </w:pPr>
      <w:r>
        <w:rPr/>
        <w:t>Consent of KCS Resources, Inc.</w:t>
      </w:r>
    </w:p>
    <w:p>
      <w:pPr>
        <w:pStyle w:val="Normal"/>
        <w:rPr/>
      </w:pPr>
      <w:r>
        <w:rPr/>
      </w:r>
    </w:p>
    <w:p>
      <w:pPr>
        <w:pStyle w:val="Normal"/>
        <w:rPr/>
      </w:pPr>
      <w:r>
        <w:rPr/>
        <w:t xml:space="preserve">If KCS Resources, Inc. and ENA or their designees have not executed definitive agreements for the purchase and sale of the ORRI by the Closing Time, then ENA, Counterparty, and KCS Resources, Inc. hereby agree that (i) the second and third sentences of Paragraph 4 of the LOU shall be deleted therefrom and (ii) Paragraph (1)(b) of this Confirmation shall be the only provision that governs settlement for the termination of the Two Transactions.  KCS Resources, Inc. appears herein and has executed this Confirmation for the sole purpose of signifying its consent to the provisions of this Paragraph (3) of the Confirmation.  </w:t>
      </w:r>
    </w:p>
    <w:p>
      <w:pPr>
        <w:pStyle w:val="Normal"/>
        <w:rPr/>
      </w:pPr>
      <w:r>
        <w:rPr/>
      </w:r>
    </w:p>
    <w:tbl>
      <w:tblPr>
        <w:tblW w:w="10152" w:type="dxa"/>
        <w:jc w:val="start"/>
        <w:tblInd w:w="0" w:type="dxa"/>
        <w:tblLayout w:type="fixed"/>
        <w:tblCellMar>
          <w:top w:w="0" w:type="dxa"/>
          <w:start w:w="108" w:type="dxa"/>
          <w:bottom w:w="0" w:type="dxa"/>
          <w:end w:w="108" w:type="dxa"/>
        </w:tblCellMar>
      </w:tblPr>
      <w:tblGrid>
        <w:gridCol w:w="10152"/>
      </w:tblGrid>
      <w:tr>
        <w:trPr/>
        <w:tc>
          <w:tcPr>
            <w:tcW w:w="10152" w:type="dxa"/>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«SignerName»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«SignerTitle»</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VC0975.1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KCS Energy Marketing Inc.</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KCS Resources, Inc., appearing for the purpose 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Acknowledging its consent to Paragraph (3)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By: 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Name: 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ab/>
        <w:tab/>
        <w:t>Title: _____________________________</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ab/>
        <w:tab/>
        <w:tab/>
        <w:tab/>
        <w:t xml:space="preserve">       </w:t>
      </w:r>
      <w:r>
        <w:rPr>
          <w:rFonts w:cs="Times New Roman" w:ascii="Times New Roman" w:hAnsi="Times New Roman"/>
        </w:rPr>
        <w:t>Attachment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ab/>
        <w:tab/>
        <w:t>Contract No. VC0975.1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Quantity Measurement: MMBtu</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Quantity Per Month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Calculation                   Per Calculation                  Fixed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xml:space="preserve">     Period                             Period                          ( per MMBtu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            ---------------------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2001</w:t>
        <w:tab/>
        <w:tab/>
        <w:tab/>
        <w:t>326,052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2001</w:t>
        <w:tab/>
        <w:tab/>
        <w:tab/>
        <w:t>306,591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2001</w:t>
        <w:tab/>
        <w:tab/>
        <w:tab/>
        <w:t>289,397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2001</w:t>
        <w:tab/>
        <w:tab/>
        <w:t>249,294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2001</w:t>
        <w:tab/>
        <w:tab/>
        <w:tab/>
        <w:t>226,511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2001</w:t>
        <w:tab/>
        <w:tab/>
        <w:t>236,194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2001</w:t>
        <w:tab/>
        <w:tab/>
        <w:t>242,991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2002</w:t>
        <w:tab/>
        <w:tab/>
        <w:tab/>
        <w:t>247,898</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2002</w:t>
        <w:tab/>
        <w:tab/>
        <w:tab/>
        <w:t>229,967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2002</w:t>
        <w:tab/>
        <w:tab/>
        <w:tab/>
        <w:t>198,465</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2002</w:t>
        <w:tab/>
        <w:tab/>
        <w:tab/>
        <w:t>190,185</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2002</w:t>
        <w:tab/>
        <w:tab/>
        <w:tab/>
        <w:t>167,029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June, 2002</w:t>
        <w:tab/>
        <w:tab/>
        <w:tab/>
        <w:t>168,770</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July, 2002</w:t>
        <w:tab/>
        <w:tab/>
        <w:tab/>
        <w:t>166,924</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August, 2002</w:t>
        <w:tab/>
        <w:tab/>
        <w:tab/>
        <w:t>160,367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September, 2002</w:t>
        <w:tab/>
        <w:tab/>
        <w:t>164,722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October, 2002</w:t>
        <w:tab/>
        <w:tab/>
        <w:tab/>
        <w:t>168,091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November, 2002</w:t>
        <w:tab/>
        <w:tab/>
        <w:t>196,952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December, 2002</w:t>
        <w:tab/>
        <w:tab/>
        <w:t>204,607</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January, 2003</w:t>
        <w:tab/>
        <w:tab/>
        <w:tab/>
        <w:t>194,522</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February, 2003</w:t>
        <w:tab/>
        <w:tab/>
        <w:tab/>
        <w:t>186,349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March, 2003</w:t>
        <w:tab/>
        <w:tab/>
        <w:tab/>
        <w:t>160,801</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April, 2003</w:t>
        <w:tab/>
        <w:tab/>
        <w:tab/>
        <w:t>156,149</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May, 2003</w:t>
        <w:tab/>
        <w:tab/>
        <w:tab/>
        <w:t>135,536</w:t>
        <w:tab/>
        <w:t xml:space="preserve"> $4.25500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ab/>
        <w:tab/>
        <w:t>End Of Attachment</w:t>
      </w:r>
    </w:p>
    <w:sectPr>
      <w:headerReference w:type="default" r:id="rId3"/>
      <w:footerReference w:type="default" r:id="rId4"/>
      <w:type w:val="nextPage"/>
      <w:pgSz w:w="12240" w:h="15840"/>
      <w:pgMar w:left="1152" w:right="1152"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TITLE </w:instrText>
    </w:r>
    <w:r>
      <w:rPr>
        <w:rFonts w:cs="Times New Roman" w:ascii="Times New Roman" w:hAnsi="Times New Roman"/>
      </w:rPr>
      <w:fldChar w:fldCharType="separate"/>
    </w:r>
    <w:r>
      <w:rPr>
        <w:rFonts w:cs="Times New Roman" w:ascii="Times New Roman" w:hAnsi="Times New Roman"/>
      </w:rPr>
      <w:t>VC0975.1</w:t>
    </w:r>
    <w:r>
      <w:rPr>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50"/>
        </w:tabs>
        <w:ind w:start="750" w:hanging="390"/>
      </w:pPr>
      <w:rPr/>
    </w:lvl>
    <w:lvl w:ilvl="1">
      <w:start w:val="1"/>
      <w:numFmt w:val="lowerLetter"/>
      <w:lvlText w:val="(%2)"/>
      <w:lvlJc w:val="start"/>
      <w:pPr>
        <w:tabs>
          <w:tab w:val="num" w:pos="1470"/>
        </w:tabs>
        <w:ind w:start="1470" w:hanging="39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BodyTextIndent">
    <w:name w:val="Body Text Indent"/>
    <w:basedOn w:val="Normal"/>
    <w:pPr>
      <w:ind w:hanging="0" w:start="1440" w:end="0"/>
    </w:pPr>
    <w:rPr>
      <w:rFonts w:ascii="Times New Roman" w:hAnsi="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2001-05-31T18:06:00Z</dcterms:created>
  <dc:creator>ECT</dc:creator>
  <dc:description/>
  <dc:language>en-CA</dc:language>
  <cp:lastModifiedBy>danders2</cp:lastModifiedBy>
  <dcterms:modified xsi:type="dcterms:W3CDTF">2001-05-31T18:06:00Z</dcterms:modified>
  <cp:revision>2</cp:revision>
  <dc:subject>KCS Energy Marketing Inc.</dc:subject>
  <dc:title>VC0975.1</dc:title>
</cp:coreProperties>
</file>