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360"/>
        <w:ind w:hanging="0" w:start="0"/>
        <w:rPr/>
      </w:pPr>
      <w:r>
        <w:rPr/>
        <w:t>Memorandum</w:t>
      </w:r>
    </w:p>
    <w:tbl>
      <w:tblPr>
        <w:tblW w:w="9288" w:type="dxa"/>
        <w:jc w:val="start"/>
        <w:tblInd w:w="0" w:type="dxa"/>
        <w:tblLayout w:type="fixed"/>
        <w:tblCellMar>
          <w:top w:w="0" w:type="dxa"/>
          <w:start w:w="108" w:type="dxa"/>
          <w:bottom w:w="0" w:type="dxa"/>
          <w:end w:w="108" w:type="dxa"/>
        </w:tblCellMar>
      </w:tblPr>
      <w:tblGrid>
        <w:gridCol w:w="1728"/>
        <w:gridCol w:w="3780"/>
        <w:gridCol w:w="3780"/>
      </w:tblGrid>
      <w:tr>
        <w:trPr/>
        <w:tc>
          <w:tcPr>
            <w:tcW w:w="1728" w:type="dxa"/>
            <w:tcBorders/>
          </w:tcPr>
          <w:p>
            <w:pPr>
              <w:pStyle w:val="TableHeading2"/>
              <w:spacing w:before="100" w:after="0"/>
              <w:jc w:val="start"/>
              <w:rPr>
                <w:rFonts w:ascii="AGaramond" w:hAnsi="AGaramond" w:cs="AGaramond"/>
                <w:sz w:val="24"/>
              </w:rPr>
            </w:pPr>
            <w:r>
              <w:rPr>
                <w:rFonts w:cs="AGaramond" w:ascii="AGaramond" w:hAnsi="AGaramond"/>
                <w:sz w:val="24"/>
              </w:rPr>
              <w:t>To:</w:t>
            </w:r>
          </w:p>
        </w:tc>
        <w:tc>
          <w:tcPr>
            <w:tcW w:w="3780" w:type="dxa"/>
            <w:tcBorders/>
          </w:tcPr>
          <w:p>
            <w:pPr>
              <w:pStyle w:val="ToFromNames"/>
              <w:spacing w:before="20" w:after="0"/>
              <w:rPr>
                <w:rFonts w:ascii="AGaramond" w:hAnsi="AGaramond" w:cs="AGaramond"/>
              </w:rPr>
            </w:pPr>
            <w:r>
              <w:rPr>
                <w:rFonts w:cs="AGaramond" w:ascii="AGaramond" w:hAnsi="AGaramond"/>
              </w:rPr>
              <w:t>Market Services Personnel</w:t>
            </w:r>
          </w:p>
        </w:tc>
        <w:tc>
          <w:tcPr>
            <w:tcW w:w="3780" w:type="dxa"/>
            <w:tcBorders/>
          </w:tcPr>
          <w:p>
            <w:pPr>
              <w:pStyle w:val="ToFromNames"/>
              <w:snapToGrid w:val="false"/>
              <w:spacing w:before="20" w:after="0"/>
              <w:rPr>
                <w:rFonts w:ascii="AGaramond" w:hAnsi="AGaramond" w:cs="AGaramond"/>
              </w:rPr>
            </w:pPr>
            <w:r>
              <w:rPr>
                <w:rFonts w:cs="AGaramond" w:ascii="AGaramond" w:hAnsi="AGaramond"/>
              </w:rPr>
            </w:r>
          </w:p>
        </w:tc>
      </w:tr>
      <w:tr>
        <w:trPr/>
        <w:tc>
          <w:tcPr>
            <w:tcW w:w="1728" w:type="dxa"/>
            <w:tcBorders/>
          </w:tcPr>
          <w:p>
            <w:pPr>
              <w:pStyle w:val="TableHeading2"/>
              <w:spacing w:before="100" w:after="0"/>
              <w:jc w:val="start"/>
              <w:rPr>
                <w:rFonts w:ascii="AGaramond" w:hAnsi="AGaramond" w:cs="AGaramond"/>
                <w:sz w:val="24"/>
              </w:rPr>
            </w:pPr>
            <w:r>
              <w:rPr>
                <w:rFonts w:cs="AGaramond" w:ascii="AGaramond" w:hAnsi="AGaramond"/>
                <w:sz w:val="24"/>
              </w:rPr>
              <w:t>From:</w:t>
            </w:r>
          </w:p>
        </w:tc>
        <w:tc>
          <w:tcPr>
            <w:tcW w:w="3780" w:type="dxa"/>
            <w:tcBorders/>
          </w:tcPr>
          <w:p>
            <w:pPr>
              <w:pStyle w:val="ToFromNames"/>
              <w:spacing w:before="20" w:after="0"/>
              <w:rPr>
                <w:rFonts w:ascii="AGaramond" w:hAnsi="AGaramond" w:cs="AGaramond"/>
              </w:rPr>
            </w:pPr>
            <w:r>
              <w:rPr>
                <w:rFonts w:cs="AGaramond" w:ascii="AGaramond" w:hAnsi="AGaramond"/>
              </w:rPr>
              <w:t>Julia White</w:t>
            </w:r>
          </w:p>
        </w:tc>
        <w:tc>
          <w:tcPr>
            <w:tcW w:w="3780" w:type="dxa"/>
            <w:tcBorders/>
          </w:tcPr>
          <w:p>
            <w:pPr>
              <w:pStyle w:val="ToFromNames"/>
              <w:snapToGrid w:val="false"/>
              <w:spacing w:before="20" w:after="0"/>
              <w:rPr>
                <w:rFonts w:ascii="AGaramond" w:hAnsi="AGaramond" w:cs="AGaramond"/>
              </w:rPr>
            </w:pPr>
            <w:r>
              <w:rPr>
                <w:rFonts w:cs="AGaramond" w:ascii="AGaramond" w:hAnsi="AGaramond"/>
              </w:rPr>
            </w:r>
          </w:p>
        </w:tc>
      </w:tr>
      <w:tr>
        <w:trPr/>
        <w:tc>
          <w:tcPr>
            <w:tcW w:w="1728" w:type="dxa"/>
            <w:tcBorders/>
          </w:tcPr>
          <w:p>
            <w:pPr>
              <w:pStyle w:val="TableHeading2"/>
              <w:spacing w:before="100" w:after="0"/>
              <w:jc w:val="start"/>
              <w:rPr>
                <w:rFonts w:ascii="AGaramond" w:hAnsi="AGaramond" w:cs="AGaramond"/>
                <w:sz w:val="24"/>
              </w:rPr>
            </w:pPr>
            <w:r>
              <w:rPr>
                <w:rFonts w:cs="AGaramond" w:ascii="AGaramond" w:hAnsi="AGaramond"/>
                <w:sz w:val="24"/>
              </w:rPr>
              <w:t>Date:</w:t>
            </w:r>
          </w:p>
        </w:tc>
        <w:tc>
          <w:tcPr>
            <w:tcW w:w="7560" w:type="dxa"/>
            <w:gridSpan w:val="2"/>
            <w:tcBorders/>
          </w:tcPr>
          <w:p>
            <w:pPr>
              <w:pStyle w:val="body1"/>
              <w:spacing w:before="60" w:after="60"/>
              <w:rPr>
                <w:rFonts w:ascii="AGaramond" w:hAnsi="AGaramond" w:cs="AGaramond"/>
              </w:rPr>
            </w:pPr>
            <w:r>
              <w:rPr>
                <w:rFonts w:cs="AGaramond" w:ascii="AGaramond" w:hAnsi="AGaramond"/>
              </w:rPr>
              <w:t>February 8, 2001</w:t>
            </w:r>
          </w:p>
        </w:tc>
      </w:tr>
      <w:tr>
        <w:trPr/>
        <w:tc>
          <w:tcPr>
            <w:tcW w:w="1728" w:type="dxa"/>
            <w:tcBorders/>
          </w:tcPr>
          <w:p>
            <w:pPr>
              <w:pStyle w:val="TableHeading2"/>
              <w:spacing w:before="100" w:after="0"/>
              <w:jc w:val="start"/>
              <w:rPr>
                <w:rFonts w:ascii="AGaramond" w:hAnsi="AGaramond" w:cs="AGaramond"/>
                <w:b/>
                <w:bCs/>
                <w:sz w:val="24"/>
              </w:rPr>
            </w:pPr>
            <w:r>
              <w:rPr>
                <w:rFonts w:cs="AGaramond" w:ascii="AGaramond" w:hAnsi="AGaramond"/>
                <w:b/>
                <w:bCs/>
                <w:sz w:val="24"/>
              </w:rPr>
              <w:t>Re:</w:t>
            </w:r>
          </w:p>
        </w:tc>
        <w:tc>
          <w:tcPr>
            <w:tcW w:w="7560" w:type="dxa"/>
            <w:gridSpan w:val="2"/>
            <w:tcBorders/>
          </w:tcPr>
          <w:p>
            <w:pPr>
              <w:pStyle w:val="TableH10Left"/>
              <w:spacing w:before="120" w:after="60"/>
              <w:rPr>
                <w:rFonts w:ascii="AGaramond" w:hAnsi="AGaramond" w:cs="AGaramond"/>
                <w:b/>
                <w:bCs/>
                <w:sz w:val="24"/>
              </w:rPr>
            </w:pPr>
            <w:r>
              <w:rPr>
                <w:rFonts w:cs="AGaramond" w:ascii="AGaramond" w:hAnsi="AGaramond"/>
                <w:b/>
                <w:bCs/>
                <w:sz w:val="24"/>
              </w:rPr>
              <w:t>ETS Market Services Promotions</w:t>
            </w:r>
          </w:p>
        </w:tc>
      </w:tr>
    </w:tbl>
    <w:p>
      <w:pPr>
        <w:pStyle w:val="body1"/>
        <w:rPr/>
      </w:pPr>
      <w:r>
        <w:rPr/>
      </w:r>
    </w:p>
    <w:p>
      <w:pPr>
        <w:pStyle w:val="body1"/>
        <w:rPr/>
      </w:pPr>
      <w:r>
        <w:rPr/>
        <w:t>We are pleased to announce the following promotions:</w:t>
      </w:r>
    </w:p>
    <w:p>
      <w:pPr>
        <w:pStyle w:val="body1"/>
        <w:numPr>
          <w:ilvl w:val="0"/>
          <w:numId w:val="2"/>
        </w:numPr>
        <w:rPr/>
      </w:pPr>
      <w:r>
        <w:rPr/>
        <w:t>Randy Bryan from Associate Market Services Rep to Market Services Rep.</w:t>
      </w:r>
    </w:p>
    <w:p>
      <w:pPr>
        <w:pStyle w:val="body1"/>
        <w:numPr>
          <w:ilvl w:val="0"/>
          <w:numId w:val="4"/>
        </w:numPr>
        <w:rPr/>
      </w:pPr>
      <w:r>
        <w:rPr/>
        <w:t>Amy Mulligan from Associate Market Services Rep to Market Services Rep.</w:t>
      </w:r>
    </w:p>
    <w:p>
      <w:pPr>
        <w:pStyle w:val="body1"/>
        <w:numPr>
          <w:ilvl w:val="0"/>
          <w:numId w:val="4"/>
        </w:numPr>
        <w:rPr/>
      </w:pPr>
      <w:r>
        <w:rPr/>
        <w:t>Christine McEvoy from Associate Market Services Rep to Market Services Rep.</w:t>
      </w:r>
    </w:p>
    <w:p>
      <w:pPr>
        <w:pStyle w:val="body1"/>
        <w:numPr>
          <w:ilvl w:val="0"/>
          <w:numId w:val="4"/>
        </w:numPr>
        <w:rPr/>
      </w:pPr>
      <w:r>
        <w:rPr/>
        <w:t>Tracy Minter from Associate Market Services Rep to Market Services Rep</w:t>
      </w:r>
    </w:p>
    <w:p>
      <w:pPr>
        <w:pStyle w:val="body1"/>
        <w:numPr>
          <w:ilvl w:val="0"/>
          <w:numId w:val="4"/>
        </w:numPr>
        <w:rPr/>
      </w:pPr>
      <w:r>
        <w:rPr/>
        <w:t>Kathy Sturr from Associate Market Services Rep to Market Services Rep.</w:t>
      </w:r>
    </w:p>
    <w:p>
      <w:pPr>
        <w:pStyle w:val="body1"/>
        <w:numPr>
          <w:ilvl w:val="0"/>
          <w:numId w:val="4"/>
        </w:numPr>
        <w:rPr/>
      </w:pPr>
      <w:r>
        <w:rPr/>
        <w:t>Jesse Alvarado from Gas Controller to Sr. Gas Controller.</w:t>
      </w:r>
    </w:p>
    <w:p>
      <w:pPr>
        <w:pStyle w:val="body1"/>
        <w:numPr>
          <w:ilvl w:val="0"/>
          <w:numId w:val="4"/>
        </w:numPr>
        <w:rPr/>
      </w:pPr>
      <w:r>
        <w:rPr/>
        <w:t>Bart Monden from Gas Controller to Sr. Gas Controller.</w:t>
      </w:r>
    </w:p>
    <w:p>
      <w:pPr>
        <w:pStyle w:val="body1"/>
        <w:numPr>
          <w:ilvl w:val="0"/>
          <w:numId w:val="4"/>
        </w:numPr>
        <w:rPr/>
      </w:pPr>
      <w:r>
        <w:rPr/>
        <w:t>Jodie Floyd from Market Services Rep to Sr. Market Services Rep.</w:t>
      </w:r>
    </w:p>
    <w:p>
      <w:pPr>
        <w:pStyle w:val="body1"/>
        <w:numPr>
          <w:ilvl w:val="0"/>
          <w:numId w:val="4"/>
        </w:numPr>
        <w:rPr/>
      </w:pPr>
      <w:r>
        <w:rPr/>
        <w:t>Sherry Forbish from Market Services Rep to Sr. Market Services Rep.</w:t>
      </w:r>
    </w:p>
    <w:p>
      <w:pPr>
        <w:pStyle w:val="body1"/>
        <w:numPr>
          <w:ilvl w:val="0"/>
          <w:numId w:val="4"/>
        </w:numPr>
        <w:rPr/>
      </w:pPr>
      <w:r>
        <w:rPr/>
        <w:t>Linda Ward from Market Services Rep to Sr. Market Services Rep.</w:t>
      </w:r>
    </w:p>
    <w:p>
      <w:pPr>
        <w:pStyle w:val="body1"/>
        <w:numPr>
          <w:ilvl w:val="0"/>
          <w:numId w:val="4"/>
        </w:numPr>
        <w:rPr/>
      </w:pPr>
      <w:r>
        <w:rPr/>
        <w:t>Nancy Bastida from Market Services Rep to Sr. Market Services Rep.</w:t>
      </w:r>
    </w:p>
    <w:p>
      <w:pPr>
        <w:pStyle w:val="body1"/>
        <w:numPr>
          <w:ilvl w:val="0"/>
          <w:numId w:val="4"/>
        </w:numPr>
        <w:rPr/>
      </w:pPr>
      <w:r>
        <w:rPr/>
        <w:t>Alma Carrillo from Intermediate Marketing Assistant to Sr. Marketing Assistant.</w:t>
      </w:r>
    </w:p>
    <w:p>
      <w:pPr>
        <w:pStyle w:val="body1"/>
        <w:rPr/>
      </w:pPr>
      <w:r>
        <w:rPr/>
      </w:r>
    </w:p>
    <w:p>
      <w:pPr>
        <w:pStyle w:val="body1"/>
        <w:rPr/>
      </w:pPr>
      <w:r>
        <w:rPr/>
        <w:t>In addition, with the organizational changes that have recently taken place in Market Services, the position of Team Advisor was implemented.  This position recognizes those individuals that are involved in making major decisions in the scheduling and gas control functions.  The Team Advisors are as follows:</w:t>
      </w:r>
    </w:p>
    <w:p>
      <w:pPr>
        <w:pStyle w:val="body1"/>
        <w:numPr>
          <w:ilvl w:val="0"/>
          <w:numId w:val="11"/>
        </w:numPr>
        <w:spacing w:before="60" w:after="0"/>
        <w:rPr/>
      </w:pPr>
      <w:r>
        <w:rPr/>
        <w:t>Dannis Ballard, Mike Bryant, John Buchanan, Terry Kowalke,</w:t>
      </w:r>
    </w:p>
    <w:p>
      <w:pPr>
        <w:pStyle w:val="body1"/>
        <w:spacing w:before="60" w:after="0"/>
        <w:ind w:start="720" w:end="0"/>
        <w:rPr/>
      </w:pPr>
      <w:r>
        <w:rPr/>
        <w:t>Darrell Schoolcraft and Gary Spraggins.</w:t>
      </w:r>
    </w:p>
    <w:p>
      <w:pPr>
        <w:pStyle w:val="body1"/>
        <w:rPr/>
      </w:pPr>
      <w:r>
        <w:rPr/>
      </w:r>
    </w:p>
    <w:p>
      <w:pPr>
        <w:pStyle w:val="body1"/>
        <w:rPr/>
      </w:pPr>
      <w:r>
        <w:rPr/>
        <w:t>Please join me in congratulating these employees in their new roles.</w:t>
      </w:r>
    </w:p>
    <w:p>
      <w:pPr>
        <w:pStyle w:val="body1"/>
        <w:spacing w:before="60" w:after="60"/>
        <w:rPr/>
      </w:pPr>
      <w:r>
        <w:rPr/>
      </w:r>
    </w:p>
    <w:sectPr>
      <w:headerReference w:type="default" r:id="rId2"/>
      <w:headerReference w:type="first" r:id="rId3"/>
      <w:footerReference w:type="default" r:id="rId4"/>
      <w:footerReference w:type="first" r:id="rId5"/>
      <w:type w:val="nextPage"/>
      <w:pgSz w:w="12240" w:h="15840"/>
      <w:pgMar w:left="1440" w:right="1440" w:gutter="288" w:header="720" w:top="162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Rounded MT Bold">
    <w:altName w:val="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 w:name="A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/mnt/main-storage/datasets/enron-docs/doc/jyw1337.doc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prietarystatement"/>
      <w:pBdr>
        <w:top w:val="nil"/>
        <w:left w:val="nil"/>
        <w:bottom w:val="nil"/>
        <w:right w:val="nil"/>
      </w:pBdr>
      <w:rPr>
        <w:sz w:val="16"/>
      </w:rPr>
    </w:pPr>
    <w:r>
      <w:rPr>
        <w:sz w:val="16"/>
      </w:rPr>
      <w:t>Jyw1337.doc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9:32:55 AM</w:t>
    </w:r>
    <w:r>
      <w:rPr>
        <w:sz w:val="12"/>
        <w:b/>
        <w:rFonts w:cs="Arial" w:ascii="Arial" w:hAnsi="Arial"/>
      </w:rPr>
      <w:fldChar w:fldCharType="end"/>
    </w:r>
    <w:r>
      <w:rPr/>
      <w:tab/>
      <w:t>Enron Transportation Services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lang w:val="en-CA" w:eastAsia="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85pt" filled="f" o:ole="">
          <v:imagedata r:id="rId2" o:title=""/>
        </v:shape>
        <o:OLEObject Type="Embed" ProgID="" ShapeID="ole_rId1" DrawAspect="Content" ObjectID="_578041962" r:id="rId1"/>
      </w:object>
    </w:r>
    <w:r>
      <w:rPr/>
      <w:t>Enron Transportation Services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Garamond" w:hAnsi="Garamond" w:cs="Garamond" w:hint="default"/>
      </w:rPr>
    </w:lvl>
  </w:abstractNum>
  <w:abstractNum w:abstractNumId="3">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4">
    <w:lvl w:ilvl="0">
      <w:start w:val="1"/>
      <w:numFmt w:val="bullet"/>
      <w:lvlText w:val="►"/>
      <w:lvlJc w:val="start"/>
      <w:pPr>
        <w:tabs>
          <w:tab w:val="num" w:pos="720"/>
        </w:tabs>
        <w:ind w:start="720" w:hanging="360"/>
      </w:pPr>
      <w:rPr>
        <w:rFonts w:ascii="Garamond" w:hAnsi="Garamond" w:cs="Garamond" w:hint="default"/>
      </w:rPr>
    </w:lvl>
  </w:abstractNum>
  <w:abstractNum w:abstractNumId="5">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10">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1">
    <w:lvl w:ilvl="0">
      <w:start w:val="1"/>
      <w:numFmt w:val="bullet"/>
      <w:lvlText w:val="►"/>
      <w:lvlJc w:val="start"/>
      <w:pPr>
        <w:tabs>
          <w:tab w:val="num" w:pos="720"/>
        </w:tabs>
        <w:ind w:start="720" w:hanging="360"/>
      </w:pPr>
      <w:rPr>
        <w:rFonts w:ascii="Garamond" w:hAnsi="Garamond" w:cs="Garamond" w:hint="default"/>
        <w:sz w:val="22"/>
      </w:rPr>
    </w:lvl>
  </w:abstractNum>
  <w:abstractNum w:abstractNumId="12">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3">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bidi="ar-SA" w:eastAsia="zh-C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bidi="ar-SA" w:eastAsia="zh-C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000080"/>
      <w:sz w:val="26"/>
      <w:szCs w:val="20"/>
      <w:lang w:val="en-US" w:bidi="ar-SA" w:eastAsia="zh-C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FF"/>
      <w:sz w:val="24"/>
      <w:szCs w:val="20"/>
      <w:lang w:val="en-US" w:bidi="ar-SA" w:eastAsia="zh-CN"/>
    </w:rPr>
  </w:style>
  <w:style w:type="paragraph" w:styleId="Heading4">
    <w:name w:val="heading 4"/>
    <w:next w:val="body1"/>
    <w:qFormat/>
    <w:pPr>
      <w:keepNext w:val="true"/>
      <w:widowControl/>
      <w:numPr>
        <w:ilvl w:val="3"/>
        <w:numId w:val="1"/>
      </w:numPr>
      <w:bidi w:val="0"/>
      <w:spacing w:before="240" w:after="80"/>
      <w:outlineLvl w:val="3"/>
    </w:pPr>
    <w:rPr>
      <w:rFonts w:ascii="Arial Rounded MT Bold;Tahoma" w:hAnsi="Arial Rounded MT Bold;Tahoma" w:eastAsia="Times New Roman" w:cs="Arial Rounded MT Bold;Tahoma"/>
      <w:b/>
      <w:color w:val="008000"/>
      <w:sz w:val="22"/>
      <w:szCs w:val="20"/>
      <w:lang w:val="en-US" w:bidi="ar-SA" w:eastAsia="zh-C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8000"/>
      <w:sz w:val="22"/>
      <w:szCs w:val="20"/>
      <w:u w:val="thick"/>
      <w:lang w:val="en-US" w:bidi="ar-SA" w:eastAsia="zh-CN"/>
    </w:rPr>
  </w:style>
  <w:style w:type="character" w:styleId="WW8Num2z0">
    <w:name w:val="WW8Num2z0"/>
    <w:qFormat/>
    <w:rPr/>
  </w:style>
  <w:style w:type="character" w:styleId="WW8Num3z0">
    <w:name w:val="WW8Num3z0"/>
    <w:qFormat/>
    <w:rPr>
      <w:rFonts w:ascii="Garamond" w:hAnsi="Garamond" w:cs="Garamond"/>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Arial" w:hAnsi="Arial" w:cs="Arial"/>
      <w:b w:val="false"/>
      <w:i w:val="false"/>
      <w:color w:val="000080"/>
      <w:sz w:val="24"/>
      <w:u w:val="none"/>
    </w:rPr>
  </w:style>
  <w:style w:type="character" w:styleId="WW8Num7z0">
    <w:name w:val="WW8Num7z0"/>
    <w:qFormat/>
    <w:rPr>
      <w:rFonts w:ascii="Wingdings" w:hAnsi="Wingdings" w:cs="Wingdings"/>
      <w:b/>
      <w:i w:val="false"/>
      <w:sz w:val="18"/>
    </w:rPr>
  </w:style>
  <w:style w:type="character" w:styleId="WW8Num8z0">
    <w:name w:val="WW8Num8z0"/>
    <w:qFormat/>
    <w:rPr/>
  </w:style>
  <w:style w:type="character" w:styleId="WW8Num9z0">
    <w:name w:val="WW8Num9z0"/>
    <w:qFormat/>
    <w:rPr>
      <w:rFonts w:ascii="Garamond" w:hAnsi="Garamond" w:cs="Garamond"/>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Garamond" w:hAnsi="Garamond" w:cs="Garamond"/>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Wingdings" w:hAnsi="Wingdings" w:cs="Wingdings"/>
      <w:b/>
      <w:i w:val="false"/>
      <w:sz w:val="18"/>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b/>
      <w:i w:val="false"/>
      <w:sz w:val="18"/>
    </w:rPr>
  </w:style>
  <w:style w:type="character" w:styleId="WW8Num16z0">
    <w:name w:val="WW8Num16z0"/>
    <w:qFormat/>
    <w:rPr/>
  </w:style>
  <w:style w:type="character" w:styleId="WW8Num18z1">
    <w:name w:val="WW8Num18z1"/>
    <w:qFormat/>
    <w:rPr>
      <w:rFonts w:ascii="Arial Black" w:hAnsi="Arial Black" w:cs="Arial Black"/>
      <w:b/>
      <w:i w:val="false"/>
      <w:sz w:val="34"/>
    </w:rPr>
  </w:style>
  <w:style w:type="character" w:styleId="WW8Num19z0">
    <w:name w:val="WW8Num19z0"/>
    <w:qFormat/>
    <w:rPr>
      <w:rFonts w:ascii="Wingdings" w:hAnsi="Wingdings" w:cs="Wingdings"/>
      <w:b/>
      <w:i w:val="false"/>
      <w:sz w:val="18"/>
    </w:rPr>
  </w:style>
  <w:style w:type="character" w:styleId="WW8Num20z0">
    <w:name w:val="WW8Num20z0"/>
    <w:qFormat/>
    <w:rPr/>
  </w:style>
  <w:style w:type="character" w:styleId="WW8Num21z0">
    <w:name w:val="WW8Num21z0"/>
    <w:qFormat/>
    <w:rPr>
      <w:rFonts w:ascii="Wingdings" w:hAnsi="Wingdings" w:cs="Wingdings"/>
      <w:b/>
      <w:i w:val="false"/>
      <w:sz w:val="18"/>
    </w:rPr>
  </w:style>
  <w:style w:type="character" w:styleId="WW8Num22z0">
    <w:name w:val="WW8Num22z0"/>
    <w:qFormat/>
    <w:rPr>
      <w:rFonts w:ascii="Wingdings" w:hAnsi="Wingdings" w:cs="Wingdings"/>
      <w:b/>
      <w:i w:val="false"/>
      <w:sz w:val="18"/>
    </w:rPr>
  </w:style>
  <w:style w:type="character" w:styleId="WW8Num23z0">
    <w:name w:val="WW8Num23z0"/>
    <w:qFormat/>
    <w:rPr>
      <w:rFonts w:ascii="Arial" w:hAnsi="Arial" w:cs="Arial"/>
      <w:b w:val="false"/>
      <w:i w:val="false"/>
      <w:color w:val="000080"/>
      <w:sz w:val="24"/>
      <w:u w:val="none"/>
    </w:rPr>
  </w:style>
  <w:style w:type="character" w:styleId="WW8Num24z0">
    <w:name w:val="WW8Num24z0"/>
    <w:qFormat/>
    <w:rPr>
      <w:rFonts w:ascii="Wingdings" w:hAnsi="Wingdings" w:cs="Wingdings"/>
      <w:b/>
      <w:i w:val="false"/>
      <w:sz w:val="18"/>
    </w:rPr>
  </w:style>
  <w:style w:type="character" w:styleId="WW8Num25z0">
    <w:name w:val="WW8Num25z0"/>
    <w:qFormat/>
    <w:rPr/>
  </w:style>
  <w:style w:type="character" w:styleId="WW8Num26z0">
    <w:name w:val="WW8Num26z0"/>
    <w:qFormat/>
    <w:rPr/>
  </w:style>
  <w:style w:type="character" w:styleId="WW8Num27z0">
    <w:name w:val="WW8Num27z0"/>
    <w:qFormat/>
    <w:rPr>
      <w:rFonts w:ascii="Arial" w:hAnsi="Arial" w:cs="Arial"/>
      <w:b w:val="false"/>
      <w:i w:val="false"/>
      <w:color w:val="000080"/>
      <w:sz w:val="24"/>
      <w:u w:val="none"/>
    </w:rPr>
  </w:style>
  <w:style w:type="character" w:styleId="WW8Num28z0">
    <w:name w:val="WW8Num28z0"/>
    <w:qFormat/>
    <w:rPr>
      <w:rFonts w:ascii="Garamond" w:hAnsi="Garamond" w:cs="Garamond"/>
      <w:sz w:val="22"/>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w:hAnsi="Wingdings" w:cs="Wingdings"/>
      <w:b/>
      <w:i w:val="false"/>
      <w:sz w:val="18"/>
    </w:rPr>
  </w:style>
  <w:style w:type="character" w:styleId="WW8Num30z0">
    <w:name w:val="WW8Num30z0"/>
    <w:qFormat/>
    <w:rPr>
      <w:rFonts w:ascii="Wingdings" w:hAnsi="Wingdings" w:cs="Wingdings"/>
      <w:color w:val="0000FF"/>
    </w:rPr>
  </w:style>
  <w:style w:type="character" w:styleId="WW8Num31z0">
    <w:name w:val="WW8Num31z0"/>
    <w:qFormat/>
    <w:rPr>
      <w:rFonts w:ascii="Arial" w:hAnsi="Arial" w:cs="Arial"/>
      <w:b w:val="false"/>
      <w:i w:val="false"/>
      <w:color w:val="000080"/>
      <w:sz w:val="24"/>
      <w:u w:val="none"/>
    </w:rPr>
  </w:style>
  <w:style w:type="character" w:styleId="WW8Num32z0">
    <w:name w:val="WW8Num32z0"/>
    <w:qFormat/>
    <w:rPr>
      <w:rFonts w:ascii="Wingdings" w:hAnsi="Wingdings" w:cs="Wingdings"/>
      <w:b/>
      <w:i w:val="false"/>
      <w:sz w:val="18"/>
    </w:rPr>
  </w:style>
  <w:style w:type="character" w:styleId="WW8Num33z0">
    <w:name w:val="WW8Num33z0"/>
    <w:qFormat/>
    <w:rPr/>
  </w:style>
  <w:style w:type="character" w:styleId="WW8Num34z0">
    <w:name w:val="WW8Num34z0"/>
    <w:qFormat/>
    <w:rPr>
      <w:rFonts w:ascii="Arial" w:hAnsi="Arial" w:cs="Arial"/>
      <w:b w:val="false"/>
      <w:i w:val="false"/>
      <w:color w:val="000080"/>
      <w:sz w:val="24"/>
      <w:u w:val="none"/>
    </w:rPr>
  </w:style>
  <w:style w:type="character" w:styleId="WW8Num35z0">
    <w:name w:val="WW8Num35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bidi="ar-SA" w:eastAsia="zh-C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360" w:after="240"/>
    </w:pPr>
    <w:rPr>
      <w:rFonts w:ascii="Arial Black" w:hAnsi="Arial Black" w:cs="Arial Black"/>
      <w:color w:val="808080"/>
      <w:sz w:val="20"/>
    </w:rPr>
  </w:style>
  <w:style w:type="paragraph" w:styleId="body1">
    <w:name w:val="body1"/>
    <w:qFormat/>
    <w:pPr>
      <w:widowControl/>
      <w:bidi w:val="0"/>
      <w:spacing w:before="60" w:after="60"/>
    </w:pPr>
    <w:rPr>
      <w:rFonts w:ascii="Garamond" w:hAnsi="Garamond" w:eastAsia="Times New Roman" w:cs="Garamond"/>
      <w:color w:val="000000"/>
      <w:sz w:val="24"/>
      <w:szCs w:val="20"/>
      <w:lang w:val="en-US" w:bidi="ar-SA" w:eastAsia="zh-CN"/>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US" w:eastAsia="en-CA" w:bidi="ar-SA"/>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Tahoma" w:hAnsi="Arial Rounded MT Bold;Tahoma" w:cs="Arial Rounded MT Bold;Tahoma"/>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Tahoma" w:hAnsi="Arial Rounded MT Bold;Tahoma" w:cs="Arial Rounded MT Bold;Tahoma"/>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bidi="ar-SA" w:eastAsia="zh-C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bidi="ar-SA" w:eastAsia="zh-C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bidi="ar-SA" w:eastAsia="zh-C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bidi="ar-SA" w:eastAsia="zh-C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bidi="ar-SA" w:eastAsia="zh-C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bidi="ar-SA" w:eastAsia="zh-C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bidi="ar-SA" w:eastAsia="zh-C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bidi="ar-SA" w:eastAsia="zh-C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arrow-b2">
    <w:name w:val="arrow-b2"/>
    <w:qFormat/>
    <w:pPr>
      <w:widowControl/>
      <w:numPr>
        <w:ilvl w:val="0"/>
        <w:numId w:val="7"/>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arrow-b3">
    <w:name w:val="arrow-b3"/>
    <w:qFormat/>
    <w:pPr>
      <w:widowControl/>
      <w:numPr>
        <w:ilvl w:val="0"/>
        <w:numId w:val="9"/>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US" w:eastAsia="en-CA" w:bidi="ar-SA"/>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bidi="ar-SA" w:eastAsia="zh-CN"/>
    </w:rPr>
  </w:style>
  <w:style w:type="paragraph" w:styleId="arrow-b4">
    <w:name w:val="arrow-b4"/>
    <w:qFormat/>
    <w:pPr>
      <w:widowControl/>
      <w:numPr>
        <w:ilvl w:val="0"/>
        <w:numId w:val="13"/>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arrow-b5">
    <w:name w:val="arrow-b5"/>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box-b2">
    <w:name w:val="box-b2"/>
    <w:qFormat/>
    <w:pPr>
      <w:widowControl/>
      <w:numPr>
        <w:ilvl w:val="0"/>
        <w:numId w:val="8"/>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x-b3">
    <w:name w:val="box-b3"/>
    <w:qFormat/>
    <w:pPr>
      <w:widowControl/>
      <w:numPr>
        <w:ilvl w:val="0"/>
        <w:numId w:val="10"/>
      </w:numPr>
      <w:tabs>
        <w:tab w:val="clear" w:pos="720"/>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x-b4">
    <w:name w:val="box-b4"/>
    <w:qFormat/>
    <w:pPr>
      <w:widowControl/>
      <w:numPr>
        <w:ilvl w:val="0"/>
        <w:numId w:val="6"/>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Style11">
    <w:name w:val="Style1"/>
    <w:qFormat/>
    <w:pPr>
      <w:widowControl/>
      <w:numPr>
        <w:ilvl w:val="0"/>
        <w:numId w:val="5"/>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box-b5">
    <w:name w:val="box-b5"/>
    <w:qFormat/>
    <w:pPr>
      <w:widowControl/>
      <w:numPr>
        <w:ilvl w:val="0"/>
        <w:numId w:val="1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US" w:eastAsia="en-CA" w:bidi="ar-SA"/>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US" w:eastAsia="en-CA" w:bidi="ar-SA"/>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bidi="ar-SA" w:eastAsia="zh-CN"/>
    </w:rPr>
  </w:style>
  <w:style w:type="paragraph" w:styleId="TableText">
    <w:name w:val="Table Text"/>
    <w:qFormat/>
    <w:pPr>
      <w:widowControl/>
      <w:bidi w:val="0"/>
      <w:spacing w:before="120" w:after="20"/>
    </w:pPr>
    <w:rPr>
      <w:rFonts w:ascii="Arial" w:hAnsi="Arial" w:eastAsia="Times New Roman" w:cs="Arial"/>
      <w:color w:val="000000"/>
      <w:sz w:val="20"/>
      <w:szCs w:val="20"/>
      <w:lang w:val="en-US" w:bidi="ar-SA" w:eastAsia="zh-C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bidi="ar-SA" w:eastAsia="zh-CN"/>
    </w:rPr>
  </w:style>
  <w:style w:type="paragraph" w:styleId="tabletext8">
    <w:name w:val="table text 8"/>
    <w:qFormat/>
    <w:pPr>
      <w:widowControl/>
      <w:bidi w:val="0"/>
    </w:pPr>
    <w:rPr>
      <w:rFonts w:ascii="Arial" w:hAnsi="Arial" w:eastAsia="Times New Roman" w:cs="Arial"/>
      <w:color w:val="auto"/>
      <w:sz w:val="16"/>
      <w:szCs w:val="20"/>
      <w:lang w:val="en-US" w:bidi="ar-SA" w:eastAsia="zh-C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US" w:eastAsia="en-CA" w:bidi="ar-SA"/>
    </w:rPr>
  </w:style>
  <w:style w:type="paragraph" w:styleId="TableH10Left">
    <w:name w:val="TableH10Left"/>
    <w:qFormat/>
    <w:pPr>
      <w:widowControl/>
      <w:bidi w:val="0"/>
      <w:spacing w:before="120" w:after="60"/>
    </w:pPr>
    <w:rPr>
      <w:rFonts w:ascii="Arial Black" w:hAnsi="Arial Black" w:eastAsia="Times New Roman" w:cs="Arial Black"/>
      <w:i/>
      <w:color w:val="000000"/>
      <w:sz w:val="20"/>
      <w:szCs w:val="20"/>
      <w:lang w:val="en-US" w:eastAsia="en-CA" w:bidi="ar-SA"/>
    </w:rPr>
  </w:style>
  <w:style w:type="paragraph" w:styleId="ToFromNames">
    <w:name w:val="To From Names"/>
    <w:qFormat/>
    <w:pPr>
      <w:widowControl/>
      <w:bidi w:val="0"/>
      <w:spacing w:before="20" w:after="0"/>
    </w:pPr>
    <w:rPr>
      <w:rFonts w:ascii="Garamond" w:hAnsi="Garamond" w:eastAsia="Times New Roman" w:cs="Garamond"/>
      <w:color w:val="000000"/>
      <w:sz w:val="24"/>
      <w:szCs w:val="20"/>
      <w:lang w:val="en-US" w:eastAsia="en-CA" w:bidi="ar-SA"/>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2001-02-08T17:11:00Z</dcterms:created>
  <dc:creator>ET&amp;S LAN Support</dc:creator>
  <dc:description/>
  <dc:language>en-CA</dc:language>
  <cp:lastModifiedBy>RWINTERS</cp:lastModifiedBy>
  <cp:lastPrinted>2001-02-08T16:04:00Z</cp:lastPrinted>
  <dcterms:modified xsi:type="dcterms:W3CDTF">2001-02-08T20:04:00Z</dcterms:modified>
  <cp:revision>17</cp:revision>
  <dc:subject>ETS Template</dc:subject>
  <dc:title>ETS Template</dc:title>
</cp:coreProperties>
</file>