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360"/>
        <w:ind w:hanging="0" w:start="0"/>
        <w:rPr/>
      </w:pPr>
      <w:r>
        <w:rPr/>
        <w:t>Memorandum</w:t>
      </w:r>
    </w:p>
    <w:tbl>
      <w:tblPr>
        <w:tblW w:w="9288" w:type="dxa"/>
        <w:jc w:val="start"/>
        <w:tblInd w:w="0" w:type="dxa"/>
        <w:tblLayout w:type="fixed"/>
        <w:tblCellMar>
          <w:top w:w="0" w:type="dxa"/>
          <w:start w:w="108" w:type="dxa"/>
          <w:bottom w:w="0" w:type="dxa"/>
          <w:end w:w="108" w:type="dxa"/>
        </w:tblCellMar>
      </w:tblPr>
      <w:tblGrid>
        <w:gridCol w:w="1728"/>
        <w:gridCol w:w="3780"/>
        <w:gridCol w:w="3780"/>
      </w:tblGrid>
      <w:tr>
        <w:trPr/>
        <w:tc>
          <w:tcPr>
            <w:tcW w:w="1728" w:type="dxa"/>
            <w:tcBorders/>
          </w:tcPr>
          <w:p>
            <w:pPr>
              <w:pStyle w:val="TableHeading2"/>
              <w:spacing w:before="100" w:after="0"/>
              <w:jc w:val="start"/>
              <w:rPr>
                <w:rFonts w:ascii="Garamond" w:hAnsi="Garamond" w:cs="Garamond"/>
              </w:rPr>
            </w:pPr>
            <w:r>
              <w:rPr>
                <w:rFonts w:cs="Garamond" w:ascii="Garamond" w:hAnsi="Garamond"/>
              </w:rPr>
              <w:t>To:</w:t>
            </w:r>
          </w:p>
        </w:tc>
        <w:tc>
          <w:tcPr>
            <w:tcW w:w="3780" w:type="dxa"/>
            <w:tcBorders/>
          </w:tcPr>
          <w:p>
            <w:pPr>
              <w:pStyle w:val="Normal"/>
              <w:spacing w:before="60" w:after="60"/>
              <w:rPr>
                <w:sz w:val="18"/>
                <w:lang w:eastAsia="en-US"/>
              </w:rPr>
            </w:pPr>
            <w:r>
              <w:rPr>
                <w:sz w:val="18"/>
                <w:lang w:eastAsia="en-US"/>
              </w:rPr>
              <w:t>Shelley Corman</w:t>
            </w:r>
          </w:p>
          <w:p>
            <w:pPr>
              <w:pStyle w:val="Normal"/>
              <w:rPr>
                <w:sz w:val="18"/>
                <w:lang w:eastAsia="en-US"/>
              </w:rPr>
            </w:pPr>
            <w:r>
              <w:rPr>
                <w:sz w:val="18"/>
                <w:lang w:eastAsia="en-US"/>
              </w:rPr>
              <w:t>Ray Neppl</w:t>
            </w:r>
          </w:p>
          <w:p>
            <w:pPr>
              <w:pStyle w:val="Normal"/>
              <w:rPr>
                <w:sz w:val="18"/>
                <w:lang w:eastAsia="en-US"/>
              </w:rPr>
            </w:pPr>
            <w:r>
              <w:rPr>
                <w:sz w:val="18"/>
                <w:lang w:eastAsia="en-US"/>
              </w:rPr>
              <w:t>Steve Hotte</w:t>
            </w:r>
          </w:p>
          <w:p>
            <w:pPr>
              <w:pStyle w:val="Normal"/>
              <w:rPr>
                <w:sz w:val="18"/>
                <w:lang w:eastAsia="en-US"/>
              </w:rPr>
            </w:pPr>
            <w:r>
              <w:rPr>
                <w:sz w:val="18"/>
                <w:lang w:eastAsia="en-US"/>
              </w:rPr>
              <w:t>Rod Hayslett</w:t>
            </w:r>
          </w:p>
          <w:p>
            <w:pPr>
              <w:pStyle w:val="Normal"/>
              <w:rPr>
                <w:sz w:val="18"/>
                <w:lang w:eastAsia="en-US"/>
              </w:rPr>
            </w:pPr>
            <w:r>
              <w:rPr>
                <w:sz w:val="18"/>
                <w:lang w:eastAsia="en-US"/>
              </w:rPr>
              <w:t>Sheila Nacey</w:t>
            </w:r>
          </w:p>
          <w:p>
            <w:pPr>
              <w:pStyle w:val="ToFromNames"/>
              <w:rPr>
                <w:sz w:val="18"/>
                <w:lang w:eastAsia="en-US"/>
              </w:rPr>
            </w:pPr>
            <w:r>
              <w:rPr>
                <w:sz w:val="18"/>
                <w:lang w:eastAsia="en-US"/>
              </w:rPr>
            </w:r>
          </w:p>
        </w:tc>
        <w:tc>
          <w:tcPr>
            <w:tcW w:w="3780" w:type="dxa"/>
            <w:tcBorders/>
          </w:tcPr>
          <w:p>
            <w:pPr>
              <w:pStyle w:val="Normal"/>
              <w:spacing w:before="60" w:after="60"/>
              <w:rPr>
                <w:sz w:val="18"/>
                <w:lang w:eastAsia="en-US"/>
              </w:rPr>
            </w:pPr>
            <w:r>
              <w:rPr>
                <w:sz w:val="18"/>
                <w:lang w:eastAsia="en-US"/>
              </w:rPr>
              <w:t>Scott Coburn</w:t>
            </w:r>
          </w:p>
          <w:p>
            <w:pPr>
              <w:pStyle w:val="Normal"/>
              <w:rPr>
                <w:sz w:val="18"/>
                <w:lang w:eastAsia="en-US"/>
              </w:rPr>
            </w:pPr>
            <w:r>
              <w:rPr>
                <w:sz w:val="18"/>
                <w:lang w:eastAsia="en-US"/>
              </w:rPr>
              <w:t>Donna Scott</w:t>
            </w:r>
          </w:p>
          <w:p>
            <w:pPr>
              <w:pStyle w:val="Normal"/>
              <w:rPr>
                <w:sz w:val="18"/>
                <w:lang w:eastAsia="en-US"/>
              </w:rPr>
            </w:pPr>
            <w:r>
              <w:rPr>
                <w:sz w:val="18"/>
                <w:lang w:eastAsia="en-US"/>
              </w:rPr>
              <w:t>Sarabeth Smith</w:t>
            </w:r>
          </w:p>
          <w:p>
            <w:pPr>
              <w:pStyle w:val="Normal"/>
              <w:rPr>
                <w:sz w:val="18"/>
                <w:lang w:eastAsia="en-US"/>
              </w:rPr>
            </w:pPr>
            <w:r>
              <w:rPr>
                <w:sz w:val="18"/>
                <w:lang w:eastAsia="en-US"/>
              </w:rPr>
              <w:t>Tamara Hopkins</w:t>
            </w:r>
          </w:p>
          <w:p>
            <w:pPr>
              <w:pStyle w:val="ToFromNames"/>
              <w:rPr>
                <w:sz w:val="18"/>
                <w:lang w:val="en-US" w:eastAsia="en-US"/>
              </w:rPr>
            </w:pPr>
            <w:r>
              <w:rPr>
                <w:sz w:val="18"/>
                <w:lang w:val="en-US" w:eastAsia="en-US"/>
              </w:rPr>
              <w:t>Lynn Blair</w:t>
            </w:r>
          </w:p>
          <w:p>
            <w:pPr>
              <w:pStyle w:val="ToFromNames"/>
              <w:rPr>
                <w:sz w:val="18"/>
                <w:lang w:val="en-US" w:eastAsia="en-US"/>
              </w:rPr>
            </w:pPr>
            <w:r>
              <w:rPr>
                <w:sz w:val="18"/>
                <w:lang w:val="en-US" w:eastAsia="en-US"/>
              </w:rPr>
            </w:r>
          </w:p>
        </w:tc>
      </w:tr>
      <w:tr>
        <w:trPr/>
        <w:tc>
          <w:tcPr>
            <w:tcW w:w="1728" w:type="dxa"/>
            <w:tcBorders/>
          </w:tcPr>
          <w:p>
            <w:pPr>
              <w:pStyle w:val="TableHeading2"/>
              <w:spacing w:before="100" w:after="0"/>
              <w:jc w:val="start"/>
              <w:rPr>
                <w:rFonts w:ascii="Garamond" w:hAnsi="Garamond" w:cs="Garamond"/>
              </w:rPr>
            </w:pPr>
            <w:r>
              <w:rPr>
                <w:rFonts w:cs="Garamond" w:ascii="Garamond" w:hAnsi="Garamond"/>
              </w:rPr>
              <w:t>From:</w:t>
            </w:r>
          </w:p>
        </w:tc>
        <w:tc>
          <w:tcPr>
            <w:tcW w:w="3780" w:type="dxa"/>
            <w:tcBorders/>
          </w:tcPr>
          <w:p>
            <w:pPr>
              <w:pStyle w:val="ToFromNames"/>
              <w:widowControl/>
              <w:bidi w:val="0"/>
              <w:spacing w:before="20" w:after="0"/>
              <w:rPr/>
            </w:pPr>
            <w:r>
              <w:rPr/>
              <w:t>Julia White</w:t>
            </w:r>
          </w:p>
          <w:p>
            <w:pPr>
              <w:pStyle w:val="ToFromNames"/>
              <w:rPr/>
            </w:pPr>
            <w:r>
              <w:rPr/>
            </w:r>
          </w:p>
          <w:p>
            <w:pPr>
              <w:pStyle w:val="ToFromNames"/>
              <w:rPr/>
            </w:pPr>
            <w:r>
              <w:rPr/>
            </w:r>
          </w:p>
        </w:tc>
        <w:tc>
          <w:tcPr>
            <w:tcW w:w="3780" w:type="dxa"/>
            <w:tcBorders/>
          </w:tcPr>
          <w:p>
            <w:pPr>
              <w:pStyle w:val="ToFromNames"/>
              <w:snapToGrid w:val="false"/>
              <w:spacing w:before="20" w:after="0"/>
              <w:rPr/>
            </w:pPr>
            <w:r>
              <w:rPr/>
            </w:r>
          </w:p>
        </w:tc>
      </w:tr>
      <w:tr>
        <w:trPr/>
        <w:tc>
          <w:tcPr>
            <w:tcW w:w="1728" w:type="dxa"/>
            <w:tcBorders/>
          </w:tcPr>
          <w:p>
            <w:pPr>
              <w:pStyle w:val="TableHeading2"/>
              <w:spacing w:before="100" w:after="0"/>
              <w:jc w:val="start"/>
              <w:rPr>
                <w:rFonts w:ascii="Garamond" w:hAnsi="Garamond" w:cs="Garamond"/>
              </w:rPr>
            </w:pPr>
            <w:r>
              <w:rPr>
                <w:rFonts w:cs="Garamond" w:ascii="Garamond" w:hAnsi="Garamond"/>
              </w:rPr>
              <w:t>CC:</w:t>
            </w:r>
          </w:p>
        </w:tc>
        <w:tc>
          <w:tcPr>
            <w:tcW w:w="3780" w:type="dxa"/>
            <w:tcBorders/>
          </w:tcPr>
          <w:p>
            <w:pPr>
              <w:pStyle w:val="Normal"/>
              <w:spacing w:before="60" w:after="60"/>
              <w:rPr>
                <w:sz w:val="18"/>
                <w:lang w:eastAsia="en-US"/>
              </w:rPr>
            </w:pPr>
            <w:r>
              <w:rPr>
                <w:sz w:val="18"/>
                <w:lang w:eastAsia="en-US"/>
              </w:rPr>
              <w:t>Kathy Campos</w:t>
            </w:r>
          </w:p>
          <w:p>
            <w:pPr>
              <w:pStyle w:val="Normal"/>
              <w:rPr>
                <w:sz w:val="18"/>
                <w:lang w:eastAsia="en-US"/>
              </w:rPr>
            </w:pPr>
            <w:r>
              <w:rPr>
                <w:sz w:val="18"/>
                <w:lang w:eastAsia="en-US"/>
              </w:rPr>
              <w:t>Ruth Mann</w:t>
            </w:r>
          </w:p>
          <w:p>
            <w:pPr>
              <w:pStyle w:val="Normal"/>
              <w:rPr>
                <w:sz w:val="18"/>
                <w:lang w:eastAsia="en-US"/>
              </w:rPr>
            </w:pPr>
            <w:r>
              <w:rPr>
                <w:sz w:val="18"/>
                <w:lang w:eastAsia="en-US"/>
              </w:rPr>
              <w:t>Darla Steffes</w:t>
            </w:r>
          </w:p>
          <w:p>
            <w:pPr>
              <w:pStyle w:val="Normal"/>
              <w:rPr>
                <w:sz w:val="18"/>
                <w:lang w:eastAsia="en-US"/>
              </w:rPr>
            </w:pPr>
            <w:r>
              <w:rPr>
                <w:sz w:val="18"/>
                <w:lang w:eastAsia="en-US"/>
              </w:rPr>
            </w:r>
          </w:p>
          <w:p>
            <w:pPr>
              <w:pStyle w:val="ToFromNames"/>
              <w:rPr>
                <w:sz w:val="18"/>
                <w:lang w:eastAsia="en-US"/>
              </w:rPr>
            </w:pPr>
            <w:r>
              <w:rPr>
                <w:sz w:val="18"/>
                <w:lang w:eastAsia="en-US"/>
              </w:rPr>
            </w:r>
          </w:p>
        </w:tc>
        <w:tc>
          <w:tcPr>
            <w:tcW w:w="3780" w:type="dxa"/>
            <w:tcBorders/>
          </w:tcPr>
          <w:p>
            <w:pPr>
              <w:pStyle w:val="Normal"/>
              <w:spacing w:before="60" w:after="60"/>
              <w:rPr>
                <w:sz w:val="18"/>
                <w:lang w:eastAsia="en-US"/>
              </w:rPr>
            </w:pPr>
            <w:r>
              <w:rPr>
                <w:sz w:val="18"/>
                <w:lang w:eastAsia="en-US"/>
              </w:rPr>
              <w:t>Rita Houser</w:t>
            </w:r>
          </w:p>
          <w:p>
            <w:pPr>
              <w:pStyle w:val="Normal"/>
              <w:rPr>
                <w:sz w:val="18"/>
                <w:lang w:eastAsia="en-US"/>
              </w:rPr>
            </w:pPr>
            <w:r>
              <w:rPr>
                <w:sz w:val="18"/>
                <w:lang w:eastAsia="en-US"/>
              </w:rPr>
              <w:t>Alma Carrillo</w:t>
            </w:r>
          </w:p>
          <w:p>
            <w:pPr>
              <w:pStyle w:val="ToFromNames"/>
              <w:rPr>
                <w:sz w:val="18"/>
                <w:lang w:eastAsia="en-US"/>
              </w:rPr>
            </w:pPr>
            <w:r>
              <w:rPr>
                <w:sz w:val="18"/>
                <w:lang w:eastAsia="en-US"/>
              </w:rPr>
            </w:r>
          </w:p>
        </w:tc>
      </w:tr>
      <w:tr>
        <w:trPr/>
        <w:tc>
          <w:tcPr>
            <w:tcW w:w="1728" w:type="dxa"/>
            <w:tcBorders/>
          </w:tcPr>
          <w:p>
            <w:pPr>
              <w:pStyle w:val="TableHeading2"/>
              <w:spacing w:before="100" w:after="0"/>
              <w:jc w:val="start"/>
              <w:rPr>
                <w:rFonts w:ascii="Garamond" w:hAnsi="Garamond" w:cs="Garamond"/>
              </w:rPr>
            </w:pPr>
            <w:r>
              <w:rPr>
                <w:rFonts w:cs="Garamond" w:ascii="Garamond" w:hAnsi="Garamond"/>
              </w:rPr>
              <w:t>Date:</w:t>
            </w:r>
          </w:p>
        </w:tc>
        <w:tc>
          <w:tcPr>
            <w:tcW w:w="7560" w:type="dxa"/>
            <w:gridSpan w:val="2"/>
            <w:tcBorders/>
          </w:tcPr>
          <w:p>
            <w:pPr>
              <w:pStyle w:val="body1"/>
              <w:widowControl/>
              <w:bidi w:val="0"/>
              <w:spacing w:before="60" w:after="60"/>
              <w:rPr/>
            </w:pPr>
            <w:r>
              <w:rPr/>
              <w:t>12/05/00</w:t>
            </w:r>
          </w:p>
          <w:p>
            <w:pPr>
              <w:pStyle w:val="body1"/>
              <w:widowControl/>
              <w:bidi w:val="0"/>
              <w:spacing w:before="60" w:after="60"/>
              <w:rPr/>
            </w:pPr>
            <w:r>
              <w:rPr/>
            </w:r>
          </w:p>
        </w:tc>
      </w:tr>
      <w:tr>
        <w:trPr/>
        <w:tc>
          <w:tcPr>
            <w:tcW w:w="1728" w:type="dxa"/>
            <w:tcBorders/>
          </w:tcPr>
          <w:p>
            <w:pPr>
              <w:pStyle w:val="TableHeading2"/>
              <w:spacing w:before="100" w:after="0"/>
              <w:jc w:val="start"/>
              <w:rPr/>
            </w:pPr>
            <w:r>
              <w:rPr/>
              <w:t>Re:</w:t>
            </w:r>
          </w:p>
        </w:tc>
        <w:tc>
          <w:tcPr>
            <w:tcW w:w="7560" w:type="dxa"/>
            <w:gridSpan w:val="2"/>
            <w:tcBorders/>
          </w:tcPr>
          <w:p>
            <w:pPr>
              <w:pStyle w:val="TableH10Left"/>
              <w:widowControl/>
              <w:bidi w:val="0"/>
              <w:spacing w:before="120" w:after="60"/>
              <w:rPr/>
            </w:pPr>
            <w:r>
              <w:rPr/>
              <w:t>Market Services Council Meeting</w:t>
            </w:r>
          </w:p>
        </w:tc>
      </w:tr>
    </w:tbl>
    <w:p>
      <w:pPr>
        <w:pStyle w:val="body1"/>
        <w:rPr/>
      </w:pPr>
      <w:r>
        <w:rPr/>
      </w:r>
    </w:p>
    <w:p>
      <w:pPr>
        <w:pStyle w:val="body1"/>
        <w:rPr/>
      </w:pPr>
      <w:r>
        <w:rPr/>
        <w:t>The following are a list of topics that will be discussed during this weeks Market Services Council meeting on, Thursday December 7, 2000, at 10:30 A.M., in EB42C2.</w:t>
      </w:r>
    </w:p>
    <w:p>
      <w:pPr>
        <w:pStyle w:val="body1"/>
        <w:rPr/>
      </w:pPr>
      <w:r>
        <w:rPr/>
      </w:r>
    </w:p>
    <w:p>
      <w:pPr>
        <w:pStyle w:val="body1"/>
        <w:numPr>
          <w:ilvl w:val="0"/>
          <w:numId w:val="9"/>
        </w:numPr>
        <w:tabs>
          <w:tab w:val="clear" w:pos="720"/>
          <w:tab w:val="left" w:pos="1080" w:leader="none"/>
        </w:tabs>
        <w:ind w:hanging="360" w:start="1080" w:end="0"/>
        <w:rPr/>
      </w:pPr>
      <w:r>
        <w:rPr/>
        <w:t>Discussion on GISB Version 1.4 approval</w:t>
      </w:r>
    </w:p>
    <w:p>
      <w:pPr>
        <w:pStyle w:val="body1"/>
        <w:numPr>
          <w:ilvl w:val="0"/>
          <w:numId w:val="9"/>
        </w:numPr>
        <w:tabs>
          <w:tab w:val="clear" w:pos="720"/>
          <w:tab w:val="left" w:pos="1080" w:leader="none"/>
        </w:tabs>
        <w:ind w:hanging="360" w:start="1080" w:end="0"/>
        <w:rPr/>
      </w:pPr>
      <w:r>
        <w:rPr/>
        <w:t>Expectations of Cross Contract Ranking technical conference</w:t>
      </w:r>
    </w:p>
    <w:p>
      <w:pPr>
        <w:pStyle w:val="body1"/>
        <w:numPr>
          <w:ilvl w:val="0"/>
          <w:numId w:val="9"/>
        </w:numPr>
        <w:tabs>
          <w:tab w:val="clear" w:pos="720"/>
          <w:tab w:val="left" w:pos="1080" w:leader="none"/>
        </w:tabs>
        <w:ind w:hanging="360" w:start="1080" w:end="0"/>
        <w:rPr/>
      </w:pPr>
      <w:r>
        <w:rPr/>
        <w:t>Shelley—Update on results of the EEI meeting</w:t>
      </w:r>
    </w:p>
    <w:p>
      <w:pPr>
        <w:pStyle w:val="body1"/>
        <w:rPr/>
      </w:pPr>
      <w:r>
        <w:rPr/>
      </w:r>
    </w:p>
    <w:p>
      <w:pPr>
        <w:pStyle w:val="body1"/>
        <w:rPr/>
      </w:pPr>
      <w:r>
        <w:rPr/>
        <w:t>Scott will be available on December 14</w:t>
      </w:r>
      <w:r>
        <w:rPr>
          <w:vertAlign w:val="superscript"/>
        </w:rPr>
        <w:t>th</w:t>
      </w:r>
      <w:r>
        <w:rPr/>
        <w:t xml:space="preserve"> to discuss the NBPL “20” various new business concepts they have developed.</w:t>
      </w:r>
    </w:p>
    <w:p>
      <w:pPr>
        <w:pStyle w:val="body1"/>
        <w:rPr/>
      </w:pPr>
      <w:r>
        <w:rPr/>
      </w:r>
    </w:p>
    <w:p>
      <w:pPr>
        <w:pStyle w:val="body1"/>
        <w:rPr/>
      </w:pPr>
      <w:r>
        <w:rPr/>
      </w:r>
    </w:p>
    <w:p>
      <w:pPr>
        <w:pStyle w:val="body1"/>
        <w:rPr/>
      </w:pPr>
      <w:r>
        <w:rPr/>
      </w:r>
    </w:p>
    <w:p>
      <w:pPr>
        <w:pStyle w:val="body1"/>
        <w:spacing w:before="60" w:after="60"/>
        <w:rPr/>
      </w:pPr>
      <w:r>
        <w:rPr/>
      </w:r>
    </w:p>
    <w:sectPr>
      <w:headerReference w:type="default" r:id="rId2"/>
      <w:headerReference w:type="first" r:id="rId3"/>
      <w:footerReference w:type="default" r:id="rId4"/>
      <w:footerReference w:type="first" r:id="rId5"/>
      <w:type w:val="nextPage"/>
      <w:pgSz w:w="12240" w:h="15840"/>
      <w:pgMar w:left="1440" w:right="1440" w:gutter="288" w:header="720" w:top="198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altName w:val="Antique Olive Compact"/>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/mnt/main-storage/datasets/enron-docs/doc/jyw1322.doc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pBdr>
        <w:top w:val="single" w:sz="12" w:space="1" w:color="808080"/>
        <w:left w:val="single" w:sz="12" w:space="4" w:color="808080"/>
        <w:bottom w:val="single" w:sz="12" w:space="0" w:color="808080"/>
        <w:right w:val="single" w:sz="12" w:space="4" w:color="808080"/>
      </w:pBdr>
      <w:rPr/>
    </w:pPr>
    <w:r>
      <w:rPr/>
      <w:t>This document is the property of ENRON and all information contained within is CONFIDENTIAL and PROPRIETARY.  No part of this document may be copied or reproduced without the written permission of Enron.</w:t>
    </w:r>
    <w:r>
      <mc:AlternateContent>
        <mc:Choice Requires="wps">
          <w:drawing>
            <wp:anchor behindDoc="1" distT="0" distB="0" distL="114935" distR="114935" simplePos="0" locked="0" layoutInCell="1" allowOverlap="1" relativeHeight="3">
              <wp:simplePos x="0" y="0"/>
              <wp:positionH relativeFrom="column">
                <wp:posOffset>-30480</wp:posOffset>
              </wp:positionH>
              <wp:positionV relativeFrom="paragraph">
                <wp:posOffset>400685</wp:posOffset>
              </wp:positionV>
              <wp:extent cx="1371600" cy="274320"/>
              <wp:effectExtent l="0" t="0" r="0" b="0"/>
              <wp:wrapNone/>
              <wp:docPr id="1" name="Frame1"/>
              <a:graphic xmlns:a="http://schemas.openxmlformats.org/drawingml/2006/main">
                <a:graphicData uri="http://schemas.microsoft.com/office/word/2010/wordprocessingShape">
                  <wps:wsp>
                    <wps:cNvSpPr txBox="1"/>
                    <wps:spPr>
                      <a:xfrm>
                        <a:off x="0" y="0"/>
                        <a:ext cx="1371600" cy="274320"/>
                      </a:xfrm>
                      <a:prstGeom prst="rect"/>
                      <a:solidFill>
                        <a:srgbClr val="FFFFFF"/>
                      </a:solidFill>
                    </wps:spPr>
                    <wps:txbx>
                      <w:txbxContent>
                        <w:p>
                          <w:pPr>
                            <w:pStyle w:val="Normal"/>
                            <w:spacing w:before="60" w:after="60"/>
                            <w:rPr>
                              <w:color w:val="808080"/>
                              <w:sz w:val="16"/>
                            </w:rPr>
                          </w:pPr>
                          <w:r>
                            <w:rPr>
                              <w:color w:val="808080"/>
                              <w:sz w:val="16"/>
                            </w:rPr>
                            <w:t>Jyw1322.doc</w:t>
                          </w:r>
                        </w:p>
                      </w:txbxContent>
                    </wps:txbx>
                    <wps:bodyPr anchor="t" lIns="92075" tIns="46355" rIns="92075" bIns="46355">
                      <a:noAutofit/>
                    </wps:bodyPr>
                  </wps:wsp>
                </a:graphicData>
              </a:graphic>
            </wp:anchor>
          </w:drawing>
        </mc:Choice>
        <mc:Fallback>
          <w:pict>
            <v:rect fillcolor="#FFFFFF" style="position:absolute;rotation:-0;width:108pt;height:21.6pt;mso-wrap-distance-left:9.05pt;mso-wrap-distance-right:9.05pt;mso-wrap-distance-top:0pt;mso-wrap-distance-bottom:0pt;margin-top:31.55pt;mso-position-vertical-relative:text;margin-left:-2.4pt;mso-position-horizontal-relative:text">
              <v:textbox inset="0.100694444444444in,0.0506944444444444in,0.100694444444444in,0.0506944444444444in">
                <w:txbxContent>
                  <w:p>
                    <w:pPr>
                      <w:pStyle w:val="Normal"/>
                      <w:spacing w:before="60" w:after="60"/>
                      <w:rPr>
                        <w:color w:val="808080"/>
                        <w:sz w:val="16"/>
                      </w:rPr>
                    </w:pPr>
                    <w:r>
                      <w:rPr>
                        <w:color w:val="808080"/>
                        <w:sz w:val="16"/>
                      </w:rPr>
                      <w:t>Jyw1322.doc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9:32:55 AM</w:t>
    </w:r>
    <w:r>
      <w:rPr>
        <w:sz w:val="12"/>
        <w:b/>
        <w:rFonts w:cs="Arial" w:ascii="Arial" w:hAnsi="Arial"/>
      </w:rPr>
      <w:fldChar w:fldCharType="end"/>
    </w:r>
    <w:r>
      <w:rPr/>
      <w:tab/>
      <w:t>Enron Transportation Services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85pt" filled="f" o:ole="">
          <v:imagedata r:id="rId2" o:title=""/>
        </v:shape>
        <o:OLEObject Type="Embed" ProgID="" ShapeID="ole_rId1" DrawAspect="Content" ObjectID="_497779937" r:id="rId1"/>
      </w:object>
    </w:r>
    <w:r>
      <w:rPr/>
      <w:t>Enron Transportation Services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360"/>
        </w:tabs>
        <w:ind w:start="360" w:hanging="360"/>
      </w:pPr>
      <w:rPr>
        <w:rFonts w:ascii="Wingdings" w:hAnsi="Wingdings" w:cs="Wingdings" w:hint="default"/>
        <w:color w:val="0000FF"/>
      </w:rPr>
    </w:lvl>
  </w:abstractNum>
  <w:abstractNum w:abstractNumId="10">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1">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Rounded MT Bold;Antique Olive Compact" w:hAnsi="Arial Rounded MT Bold;Antique Olive Compact" w:eastAsia="Times New Roman" w:cs="Arial Rounded MT Bold;Antique Olive Compact"/>
      <w:b/>
      <w:color w:val="00800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color w:val="000080"/>
      <w:sz w:val="24"/>
      <w:u w:val="none"/>
    </w:rPr>
  </w:style>
  <w:style w:type="character" w:styleId="WW8Num6z0">
    <w:name w:val="WW8Num6z0"/>
    <w:qFormat/>
    <w:rPr>
      <w:rFonts w:ascii="Wingdings" w:hAnsi="Wingdings" w:cs="Wingdings"/>
      <w:b/>
      <w:i w:val="false"/>
      <w:sz w:val="18"/>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b/>
      <w:i w:val="false"/>
      <w:sz w:val="18"/>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b/>
      <w:i w:val="false"/>
      <w:sz w:val="18"/>
    </w:rPr>
  </w:style>
  <w:style w:type="character" w:styleId="WW8Num13z0">
    <w:name w:val="WW8Num13z0"/>
    <w:qFormat/>
    <w:rPr/>
  </w:style>
  <w:style w:type="character" w:styleId="WW8Num15z1">
    <w:name w:val="WW8Num15z1"/>
    <w:qFormat/>
    <w:rPr>
      <w:rFonts w:ascii="Arial Black" w:hAnsi="Arial Black" w:cs="Arial Black"/>
      <w:b/>
      <w:i w:val="false"/>
      <w:sz w:val="34"/>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8z0">
    <w:name w:val="WW8Num18z0"/>
    <w:qFormat/>
    <w:rPr>
      <w:rFonts w:ascii="Wingdings" w:hAnsi="Wingdings" w:cs="Wingdings"/>
      <w:b/>
      <w:i w:val="false"/>
      <w:sz w:val="18"/>
    </w:rPr>
  </w:style>
  <w:style w:type="character" w:styleId="WW8Num19z0">
    <w:name w:val="WW8Num19z0"/>
    <w:qFormat/>
    <w:rPr>
      <w:rFonts w:ascii="Wingdings" w:hAnsi="Wingdings" w:cs="Wingdings"/>
      <w:b/>
      <w:i w:val="false"/>
      <w:sz w:val="18"/>
    </w:rPr>
  </w:style>
  <w:style w:type="character" w:styleId="WW8Num20z0">
    <w:name w:val="WW8Num20z0"/>
    <w:qFormat/>
    <w:rPr>
      <w:rFonts w:ascii="Arial" w:hAnsi="Arial" w:cs="Arial"/>
      <w:b w:val="false"/>
      <w:i w:val="false"/>
      <w:color w:val="000080"/>
      <w:sz w:val="24"/>
      <w:u w:val="none"/>
    </w:rPr>
  </w:style>
  <w:style w:type="character" w:styleId="WW8Num21z0">
    <w:name w:val="WW8Num21z0"/>
    <w:qFormat/>
    <w:rPr>
      <w:rFonts w:ascii="Wingdings" w:hAnsi="Wingdings" w:cs="Wingdings"/>
      <w:b/>
      <w:i w:val="false"/>
      <w:sz w:val="18"/>
    </w:rPr>
  </w:style>
  <w:style w:type="character" w:styleId="WW8Num22z0">
    <w:name w:val="WW8Num22z0"/>
    <w:qFormat/>
    <w:rPr/>
  </w:style>
  <w:style w:type="character" w:styleId="WW8Num23z0">
    <w:name w:val="WW8Num23z0"/>
    <w:qFormat/>
    <w:rPr/>
  </w:style>
  <w:style w:type="character" w:styleId="WW8Num24z0">
    <w:name w:val="WW8Num24z0"/>
    <w:qFormat/>
    <w:rPr>
      <w:rFonts w:ascii="Arial" w:hAnsi="Arial" w:cs="Arial"/>
      <w:b w:val="false"/>
      <w:i w:val="false"/>
      <w:color w:val="000080"/>
      <w:sz w:val="24"/>
      <w:u w:val="none"/>
    </w:rPr>
  </w:style>
  <w:style w:type="character" w:styleId="WW8Num25z0">
    <w:name w:val="WW8Num25z0"/>
    <w:qFormat/>
    <w:rPr>
      <w:rFonts w:ascii="Wingdings" w:hAnsi="Wingdings" w:cs="Wingdings"/>
      <w:b/>
      <w:i w:val="false"/>
      <w:sz w:val="18"/>
    </w:rPr>
  </w:style>
  <w:style w:type="character" w:styleId="WW8Num26z0">
    <w:name w:val="WW8Num26z0"/>
    <w:qFormat/>
    <w:rPr>
      <w:rFonts w:ascii="Wingdings" w:hAnsi="Wingdings" w:cs="Wingdings"/>
      <w:color w:val="0000FF"/>
    </w:rPr>
  </w:style>
  <w:style w:type="character" w:styleId="WW8Num27z0">
    <w:name w:val="WW8Num27z0"/>
    <w:qFormat/>
    <w:rPr>
      <w:rFonts w:ascii="Arial" w:hAnsi="Arial" w:cs="Arial"/>
      <w:b w:val="false"/>
      <w:i w:val="false"/>
      <w:color w:val="000080"/>
      <w:sz w:val="24"/>
      <w:u w:val="none"/>
    </w:rPr>
  </w:style>
  <w:style w:type="character" w:styleId="WW8Num28z0">
    <w:name w:val="WW8Num28z0"/>
    <w:qFormat/>
    <w:rPr>
      <w:rFonts w:ascii="Wingdings" w:hAnsi="Wingdings" w:cs="Wingdings"/>
      <w:b/>
      <w:i w:val="false"/>
      <w:sz w:val="18"/>
    </w:rPr>
  </w:style>
  <w:style w:type="character" w:styleId="WW8Num29z0">
    <w:name w:val="WW8Num29z0"/>
    <w:qFormat/>
    <w:rPr/>
  </w:style>
  <w:style w:type="character" w:styleId="WW8Num30z0">
    <w:name w:val="WW8Num30z0"/>
    <w:qFormat/>
    <w:rPr>
      <w:rFonts w:ascii="Arial" w:hAnsi="Arial" w:cs="Arial"/>
      <w:b w:val="false"/>
      <w:i w:val="false"/>
      <w:color w:val="000080"/>
      <w:sz w:val="24"/>
      <w:u w:val="none"/>
    </w:rPr>
  </w:style>
  <w:style w:type="character" w:styleId="WW8Num31z0">
    <w:name w:val="WW8Num31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Antique Olive Compact" w:hAnsi="Arial Rounded MT Bold;Antique Olive Compact" w:cs="Arial Rounded MT Bold;Antique Olive Compact"/>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Antique Olive Compact" w:hAnsi="Arial Rounded MT Bold;Antique Olive Compact" w:cs="Arial Rounded MT Bold;Antique Olive Compact"/>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1"/>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10"/>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i/>
      <w:color w:val="000000"/>
      <w:sz w:val="20"/>
      <w:szCs w:val="20"/>
      <w:lang w:val="en-CA" w:eastAsia="zh-CN" w:bidi="hi-IN"/>
    </w:rPr>
  </w:style>
  <w:style w:type="paragraph" w:styleId="ToFromNames">
    <w:name w:val="To From Names"/>
    <w:qFormat/>
    <w:pPr>
      <w:widowControl/>
      <w:bidi w:val="0"/>
      <w:spacing w:before="20" w:after="0"/>
    </w:pPr>
    <w:rPr>
      <w:rFonts w:ascii="Garamond" w:hAnsi="Garamond" w:eastAsia="Times New Roman" w:cs="Garamond"/>
      <w:color w:val="000000"/>
      <w:sz w:val="24"/>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2000-12-04T21:24:00Z</dcterms:created>
  <dc:creator>ET&amp;S LAN Support</dc:creator>
  <dc:description/>
  <dc:language>en-CA</dc:language>
  <cp:lastModifiedBy>ET&amp;S LAN Support</cp:lastModifiedBy>
  <cp:lastPrinted>2000-12-05T13:20:00Z</cp:lastPrinted>
  <dcterms:modified xsi:type="dcterms:W3CDTF">2000-12-05T16:50:00Z</dcterms:modified>
  <cp:revision>11</cp:revision>
  <dc:subject>ETS Template</dc:subject>
  <dc:title>ETS Template</dc:title>
</cp:coreProperties>
</file>