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s>
        <w:rPr>
          <w:b/>
          <w:caps/>
          <w:color w:val="000000"/>
          <w:sz w:val="24"/>
          <w:u w:val="single"/>
        </w:rPr>
      </w:pPr>
      <w:r>
        <w:rPr>
          <w:b/>
          <w:caps/>
          <w:color w:val="000000"/>
          <w:sz w:val="24"/>
          <w:u w:val="single"/>
        </w:rPr>
        <w:t xml:space="preserve">Northern Border Partners, L.P. REPORTS Second quarter </w:t>
      </w:r>
    </w:p>
    <w:p>
      <w:pPr>
        <w:pStyle w:val="Normal"/>
        <w:tabs>
          <w:tab w:val="clear" w:pos="720"/>
          <w:tab w:val="left" w:pos="540" w:leader="none"/>
        </w:tabs>
        <w:rPr>
          <w:b/>
          <w:caps/>
          <w:color w:val="000000"/>
          <w:sz w:val="24"/>
          <w:u w:val="single"/>
        </w:rPr>
      </w:pPr>
      <w:r>
        <w:rPr>
          <w:b/>
          <w:caps/>
          <w:color w:val="000000"/>
          <w:sz w:val="24"/>
          <w:u w:val="single"/>
        </w:rPr>
        <w:t>NET INCOME per unit and Declares SEcond Quarter Distribution</w:t>
      </w:r>
    </w:p>
    <w:p>
      <w:pPr>
        <w:pStyle w:val="Normal"/>
        <w:tabs>
          <w:tab w:val="clear" w:pos="720"/>
          <w:tab w:val="left" w:pos="540" w:leader="none"/>
        </w:tabs>
        <w:rPr>
          <w:b/>
          <w:caps/>
          <w:color w:val="000000"/>
          <w:sz w:val="24"/>
          <w:u w:val="single"/>
        </w:rPr>
      </w:pPr>
      <w:r>
        <w:rPr>
          <w:b/>
          <w:caps/>
          <w:color w:val="000000"/>
          <w:sz w:val="24"/>
          <w:u w:val="single"/>
        </w:rPr>
      </w:r>
    </w:p>
    <w:p>
      <w:pPr>
        <w:pStyle w:val="Normal"/>
        <w:tabs>
          <w:tab w:val="clear" w:pos="720"/>
          <w:tab w:val="left" w:pos="540" w:leader="none"/>
        </w:tabs>
        <w:rPr>
          <w:b/>
          <w:caps/>
          <w:color w:val="000000"/>
          <w:sz w:val="24"/>
          <w:u w:val="single"/>
        </w:rPr>
      </w:pPr>
      <w:r>
        <w:rPr>
          <w:b/>
          <w:caps/>
          <w:color w:val="000000"/>
          <w:sz w:val="24"/>
          <w:u w:val="single"/>
        </w:rPr>
      </w:r>
    </w:p>
    <w:p>
      <w:pPr>
        <w:pStyle w:val="Normal"/>
        <w:tabs>
          <w:tab w:val="clear" w:pos="720"/>
          <w:tab w:val="left" w:pos="540" w:leader="none"/>
        </w:tabs>
        <w:rPr>
          <w:color w:val="000000"/>
          <w:sz w:val="24"/>
        </w:rPr>
      </w:pPr>
      <w:r>
        <w:rPr>
          <w:caps/>
          <w:color w:val="000000"/>
          <w:sz w:val="24"/>
        </w:rPr>
        <w:t>For Immediate Release</w:t>
      </w:r>
      <w:r>
        <w:rPr>
          <w:color w:val="000000"/>
          <w:sz w:val="24"/>
        </w:rPr>
        <w:t>: Wednesday, July 19, 2000</w:t>
      </w:r>
      <w:r>
        <w:rPr/>
        <w:t xml:space="preserve"> </w:t>
      </w:r>
    </w:p>
    <w:p>
      <w:pPr>
        <w:pStyle w:val="Normal"/>
        <w:tabs>
          <w:tab w:val="clear" w:pos="720"/>
          <w:tab w:val="left" w:pos="4320" w:leader="none"/>
          <w:tab w:val="left" w:pos="8640" w:leader="none"/>
        </w:tabs>
        <w:rPr>
          <w:color w:val="000000"/>
          <w:sz w:val="24"/>
        </w:rPr>
      </w:pPr>
      <w:r>
        <w:rPr>
          <w:color w:val="000000"/>
          <w:sz w:val="24"/>
        </w:rPr>
      </w:r>
    </w:p>
    <w:p>
      <w:pPr>
        <w:pStyle w:val="Normal"/>
        <w:tabs>
          <w:tab w:val="clear" w:pos="720"/>
          <w:tab w:val="left" w:pos="540" w:leader="none"/>
        </w:tabs>
        <w:rPr>
          <w:b/>
          <w:caps/>
          <w:color w:val="000000"/>
          <w:sz w:val="24"/>
        </w:rPr>
      </w:pPr>
      <w:r>
        <w:rPr>
          <w:b/>
          <w:caps/>
          <w:color w:val="000000"/>
          <w:sz w:val="24"/>
        </w:rPr>
      </w:r>
    </w:p>
    <w:p>
      <w:pPr>
        <w:pStyle w:val="Normal"/>
        <w:tabs>
          <w:tab w:val="clear" w:pos="720"/>
          <w:tab w:val="left" w:pos="540" w:leader="none"/>
        </w:tabs>
        <w:spacing w:lineRule="auto" w:line="360"/>
        <w:rPr/>
      </w:pPr>
      <w:r>
        <w:rPr>
          <w:b/>
          <w:caps/>
          <w:color w:val="000000"/>
          <w:sz w:val="24"/>
        </w:rPr>
        <w:tab/>
        <w:t>Omaha</w:t>
      </w:r>
      <w:r>
        <w:rPr>
          <w:color w:val="000000"/>
          <w:sz w:val="24"/>
        </w:rPr>
        <w:t xml:space="preserve"> – Northern Border Partners, L.P. (NYSE - NBP) today reported second quarter 2000 net income per unit of $0.60, or $18.0 million in total compared to $0.59 per unit in first quarter 2000 or $18.0 million in total.  Delivered volumes remained constant at 210,719 million cubic feet (MMcf) for second quarter 2000 from 212,647 in first quarter 2000. Operating cash flow remained strong for the current period and increased from $37.4 million for the first quarter of 2000 to $57.4 million for the second quarter 2000.  Operating cash flow per unit was $1.96 in the second quarter 2000 versus $1.28 in first quarter 2000.</w:t>
      </w:r>
    </w:p>
    <w:p>
      <w:pPr>
        <w:pStyle w:val="Normal"/>
        <w:tabs>
          <w:tab w:val="clear" w:pos="720"/>
          <w:tab w:val="left" w:pos="540" w:leader="none"/>
        </w:tabs>
        <w:spacing w:lineRule="auto" w:line="360"/>
        <w:rPr>
          <w:color w:val="000000"/>
          <w:sz w:val="24"/>
        </w:rPr>
      </w:pPr>
      <w:r>
        <w:rPr>
          <w:color w:val="000000"/>
          <w:sz w:val="24"/>
        </w:rPr>
        <w:tab/>
        <w:t>The improvement from first to second quarter is the result of_____________________________________.</w:t>
      </w:r>
    </w:p>
    <w:p>
      <w:pPr>
        <w:pStyle w:val="Normal"/>
        <w:tabs>
          <w:tab w:val="clear" w:pos="720"/>
          <w:tab w:val="left" w:pos="540" w:leader="none"/>
        </w:tabs>
        <w:spacing w:lineRule="auto" w:line="360"/>
        <w:rPr>
          <w:color w:val="000000"/>
          <w:sz w:val="24"/>
        </w:rPr>
      </w:pPr>
      <w:r>
        <w:rPr>
          <w:rFonts w:eastAsia="Courier New"/>
          <w:color w:val="000000"/>
          <w:sz w:val="24"/>
        </w:rPr>
        <w:t xml:space="preserve"> </w:t>
      </w:r>
      <w:r>
        <w:rPr>
          <w:color w:val="000000"/>
          <w:sz w:val="24"/>
        </w:rPr>
        <w:tab/>
        <w:tab/>
        <w:t xml:space="preserve">“I am especially pleased to announce that Northern Border Pipeline Company has reached an agreement in principle with the staff of the Federal Energy Regulatory Commission and our primary customers to settle the pending rate case.  Although the terms of the settlement are confidential until approved by FERC, we believe that we have reached an agreement that is in the best interests of the customers and the Company alike,” said Larry DeRoin, chairman and chief executive officer of Northern Border Partners, L.P.   </w:t>
      </w:r>
    </w:p>
    <w:p>
      <w:pPr>
        <w:pStyle w:val="Normal"/>
        <w:tabs>
          <w:tab w:val="clear" w:pos="720"/>
          <w:tab w:val="left" w:pos="540" w:leader="none"/>
        </w:tabs>
        <w:spacing w:lineRule="auto" w:line="360"/>
        <w:rPr>
          <w:color w:val="000000"/>
          <w:sz w:val="24"/>
        </w:rPr>
      </w:pPr>
      <w:r>
        <w:rPr>
          <w:color w:val="000000"/>
          <w:sz w:val="24"/>
        </w:rPr>
        <w:tab/>
        <w:t>“I am also pleased to announce an agreement between J. M. Huber Corporation and Big Horn Gas Gathering, L.L.C. for Big Horn to provide gas gathering services for Huber’s 100,000 acres of coal bed methane production.  Big Horn will construct a 56-mile, 20-inch diameter extension of its gathering system in Sheridan County, Wyoming.   We believe that this agreement and the resulting pipeline construction will provide additional transportation opportunities for Big Horn in the region.”</w:t>
      </w:r>
    </w:p>
    <w:p>
      <w:pPr>
        <w:pStyle w:val="Normal"/>
        <w:tabs>
          <w:tab w:val="clear" w:pos="720"/>
          <w:tab w:val="left" w:pos="540" w:leader="none"/>
        </w:tabs>
        <w:spacing w:lineRule="auto" w:line="360"/>
        <w:rPr>
          <w:color w:val="000000"/>
          <w:sz w:val="24"/>
        </w:rPr>
      </w:pPr>
      <w:r>
        <w:rPr>
          <w:color w:val="000000"/>
          <w:sz w:val="24"/>
        </w:rPr>
        <w:tab/>
        <w:t>The $0.60 per unit net income or $18.0 million in total for the second quarter 2000 compares to net income per unit of $0.69 or $20.6 in total for the comparable quarter in 1999.</w:t>
        <w:tab/>
      </w:r>
    </w:p>
    <w:p>
      <w:pPr>
        <w:pStyle w:val="Normal"/>
        <w:tabs>
          <w:tab w:val="clear" w:pos="720"/>
          <w:tab w:val="left" w:pos="540" w:leader="none"/>
        </w:tabs>
        <w:spacing w:lineRule="auto" w:line="360"/>
        <w:rPr>
          <w:color w:val="000000"/>
          <w:sz w:val="24"/>
        </w:rPr>
      </w:pPr>
      <w:r>
        <w:rPr>
          <w:color w:val="000000"/>
          <w:sz w:val="24"/>
        </w:rPr>
        <w:tab/>
        <w:t>The Partnership Policy Committee of Northern Border Partners, L.P. today declared the Partnership’s quarterly cash distribution of $0.65 per unit for the second quarter of 2000.  The indicated annual rate is $2.60 per unit.  The second quarter distribution is payable August 14, 2000 to unitholders of record as of July 31, 2000.</w:t>
      </w:r>
    </w:p>
    <w:p>
      <w:pPr>
        <w:pStyle w:val="Normal"/>
        <w:tabs>
          <w:tab w:val="clear" w:pos="720"/>
          <w:tab w:val="left" w:pos="540" w:leader="none"/>
        </w:tabs>
        <w:spacing w:lineRule="auto" w:line="360"/>
        <w:rPr>
          <w:color w:val="000000"/>
          <w:sz w:val="24"/>
        </w:rPr>
      </w:pPr>
      <w:r>
        <w:rPr>
          <w:color w:val="000000"/>
          <w:sz w:val="24"/>
        </w:rPr>
        <w:tab/>
        <w:t>Northern Border Partners, L.P. plans to hold a conference call with investment analysts on Thursday, July 20, 2000 at 9:30 a.m. (CDT).  During this call, senior executives from Northern Border Partners, L.P. will review the Partnership’s second quarter 2000 results.  Those interested in listening to the call can dial 1-800-289-0436 and enter confirmation code 957292.  A replay of the conference call will also be available until July 27, 2000 by dialing toll free, 1-888-203-1112 and entering confirmation code 957292.</w:t>
      </w:r>
    </w:p>
    <w:p>
      <w:pPr>
        <w:pStyle w:val="BodyTextIndent"/>
        <w:rPr>
          <w:rFonts w:ascii="Courier New" w:hAnsi="Courier New" w:cs="Courier New"/>
        </w:rPr>
      </w:pPr>
      <w:r>
        <w:rPr>
          <w:rFonts w:cs="Courier New" w:ascii="Courier New" w:hAnsi="Courier New"/>
        </w:rPr>
        <w:t xml:space="preserve">Northern Border Partners, L.P. owns a 70 percent general partner interest in Northern Border Pipeline Company, which owns and operates a 1,214-mile interstate pipeline system that transports approximately 23 percent of all Canadian natural gas imports into the United States.  In addition, the Partnership owns the Black Mesa Pipeline, a 273-mile, coal-water slurry pipeline from Kayenta, Arizona to the Mohave Power Station in Laughlin, Nevada and an equity investment in Bighorn Gas Gathering, L.L.C., a gathering system located in the Powder River Basin in Campbell and Sheridan Counties, Wyoming. </w:t>
      </w:r>
    </w:p>
    <w:p>
      <w:pPr>
        <w:pStyle w:val="BodyText"/>
        <w:jc w:val="both"/>
        <w:rPr>
          <w:rFonts w:ascii="Courier New" w:hAnsi="Courier New" w:cs="Courier New"/>
          <w:i/>
          <w:i/>
          <w:sz w:val="20"/>
        </w:rPr>
      </w:pPr>
      <w:r>
        <w:rPr>
          <w:rFonts w:cs="Courier New" w:ascii="Courier New" w:hAnsi="Courier New"/>
          <w:i/>
          <w:sz w:val="20"/>
        </w:rPr>
      </w:r>
    </w:p>
    <w:p>
      <w:pPr>
        <w:pStyle w:val="BodyText"/>
        <w:jc w:val="both"/>
        <w:rPr>
          <w:i/>
          <w:i/>
          <w:sz w:val="20"/>
        </w:rPr>
      </w:pPr>
      <w:r>
        <w:rPr>
          <w:i/>
          <w:sz w:val="20"/>
        </w:rPr>
        <w:t>This press release includes forward-looking statements within the meaning of Section 27A of the Securities Act and Section 21E of the Securities Exchange Act of 1934.  Although Northern Border Partners, L.P. believes that its expectations are based on reasonable assumptions, it can give no assurance that such expectations will be achieved.  Important factors that could cause actual results to differ materially from those in the forward-looking statements include delays in procuring personnel, materials and supplies for construction; timely procurement of right-of way easements; competition for gathering services on the Bighorn system; competitive conditions in the marketplace and actions by regulatory agencies.</w:t>
      </w:r>
    </w:p>
    <w:p>
      <w:pPr>
        <w:pStyle w:val="Normal"/>
        <w:rPr>
          <w:i/>
          <w:i/>
          <w:sz w:val="20"/>
        </w:rPr>
      </w:pPr>
      <w:r>
        <w:rPr>
          <w:i/>
          <w:sz w:val="20"/>
        </w:rPr>
      </w:r>
    </w:p>
    <w:p>
      <w:pPr>
        <w:pStyle w:val="Normal"/>
        <w:tabs>
          <w:tab w:val="clear" w:pos="720"/>
          <w:tab w:val="left" w:pos="540" w:leader="none"/>
        </w:tabs>
        <w:spacing w:lineRule="auto" w:line="360"/>
        <w:rPr>
          <w:color w:val="000000"/>
          <w:sz w:val="24"/>
        </w:rPr>
      </w:pPr>
      <w:r>
        <w:rPr>
          <w:color w:val="000000"/>
          <w:sz w:val="24"/>
        </w:rPr>
      </w:r>
    </w:p>
    <w:p>
      <w:pPr>
        <w:pStyle w:val="Normal"/>
        <w:tabs>
          <w:tab w:val="clear" w:pos="720"/>
          <w:tab w:val="left" w:pos="540" w:leader="none"/>
        </w:tabs>
        <w:spacing w:lineRule="auto" w:line="360"/>
        <w:jc w:val="center"/>
        <w:rPr>
          <w:color w:val="000000"/>
          <w:sz w:val="24"/>
        </w:rPr>
      </w:pPr>
      <w:r>
        <w:rPr>
          <w:color w:val="000000"/>
          <w:sz w:val="24"/>
        </w:rPr>
        <w:t>##</w:t>
      </w:r>
    </w:p>
    <w:p>
      <w:pPr>
        <w:pStyle w:val="Normal"/>
        <w:rPr>
          <w:color w:val="000000"/>
          <w:sz w:val="24"/>
        </w:rPr>
      </w:pPr>
      <w:r>
        <w:rPr>
          <w:color w:val="000000"/>
          <w:sz w:val="24"/>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color w:val="000000"/>
          <w:sz w:val="24"/>
        </w:rPr>
      </w:pPr>
      <w:r>
        <w:rPr>
          <w:color w:val="000000"/>
          <w:sz w:val="24"/>
        </w:rPr>
        <w:t>Delivered volumes increased in the second quarter 2000 over the comparable quarter in 1999, to xxxx million cubic feet (MMcf) from 2,126 MMcf.</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2000-07-11T16:46:00Z</dcterms:created>
  <dc:creator>...</dc:creator>
  <dc:description/>
  <dc:language>en-CA</dc:language>
  <cp:lastModifiedBy>...</cp:lastModifiedBy>
  <dcterms:modified xsi:type="dcterms:W3CDTF">2000-07-14T17:27:00Z</dcterms:modified>
  <cp:revision>5</cp:revision>
  <dc:subject/>
  <dc:title/>
</cp:coreProperties>
</file>