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Key Points of Comparison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center" w:pos="2304" w:leader="none"/>
          <w:tab w:val="center" w:pos="5040" w:leader="none"/>
          <w:tab w:val="center" w:pos="792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  <w:sz w:val="32"/>
        </w:rPr>
        <w:tab/>
        <w:t>CALIFORNIA</w:t>
        <w:tab/>
        <w:t>V.</w:t>
        <w:tab/>
        <w:t>TEXAS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Generation Market</w:t>
      </w:r>
    </w:p>
    <w:p>
      <w:pPr>
        <w:pStyle w:val="Normal"/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type w:val="nextPage"/>
          <w:pgSz w:w="12240" w:h="15840"/>
          <w:pgMar w:left="1152" w:right="1152" w:gutter="0" w:header="0" w:top="1152" w:footer="0" w:bottom="115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3"/>
        </w:numPr>
        <w:rPr/>
      </w:pPr>
      <w:r>
        <w:rPr/>
        <w:t>Almost no new power plant construction since mid-80s.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Most of CA fossil fleet is over 30-40 years old, and has very low fuel efficiency and high forced outage rates.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Siting process is long and difficult, including both local and state land use, environmental and air quality issues.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Current reserve margin (all capacity) close to zero, with no actual (real-time) operating reserves above actual demand.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Demand increased 5,500 MW from 1996-1999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672 MW of new generation added from 1995-2000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4,000 MW of planned generation expected by Summer 2002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Lead time to construct new generating plants:  7 years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Imports almost 25 percent of peak power requirements</w:t>
      </w:r>
    </w:p>
    <w:p>
      <w:pPr>
        <w:pStyle w:val="Normal"/>
        <w:numPr>
          <w:ilvl w:val="0"/>
          <w:numId w:val="3"/>
        </w:numPr>
        <w:rPr/>
      </w:pPr>
      <w:r>
        <w:br w:type="column"/>
      </w:r>
      <w:r>
        <w:rPr/>
        <w:t>23 new plants built since 1995, for 8,652 MW, with more under construction.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Most of TX power plants are much younger and have higher fuel efficiency and low forced outage rates.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Siting process is relatively fast, involving state air and water regulation and local land use issues.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Reserve margins above realistic demand forecasts, and operating reserves well above actual demands.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Demand increased almost 13,000 MW from 1994-2000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5,700 MW of new generation added from 1995-2000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10,000 MW of planned generation expected by Summer of 2002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Lead time to construct new generating plants:  2-3 years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Imports less than 1 percent of peak power requirements</w:t>
      </w:r>
    </w:p>
    <w:p>
      <w:pPr>
        <w:sectPr>
          <w:type w:val="continuous"/>
          <w:pgSz w:w="12240" w:h="15840"/>
          <w:pgMar w:left="1152" w:right="1152" w:gutter="0" w:header="0" w:top="1152" w:footer="0" w:bottom="1152"/>
          <w:cols w:num="2" w:space="708" w:equalWidth="true" w:sep="tru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2"/>
        </w:rPr>
      </w:pPr>
      <w:r>
        <w:rPr>
          <w:sz w:val="22"/>
        </w:rPr>
      </w:r>
      <w:r>
        <w:br w:type="page"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Wholesale Market</w:t>
      </w:r>
    </w:p>
    <w:p>
      <w:pPr>
        <w:sectPr>
          <w:type w:val="continuous"/>
          <w:pgSz w:w="12240" w:h="15840"/>
          <w:pgMar w:left="1152" w:right="1152" w:gutter="0" w:header="0" w:top="1152" w:footer="0" w:bottom="1152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4"/>
        </w:numPr>
        <w:rPr/>
      </w:pPr>
      <w:r>
        <w:rPr/>
        <w:t>Under federal regulation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Power pool arrangement guarantees highest prices to generators, passed on to consumers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Spot market purchases leave consumers vulnerable to price spikes during peak demand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Until recently, utilities bought in spot market only, with highest bid setting market-wide price</w:t>
      </w:r>
    </w:p>
    <w:p>
      <w:pPr>
        <w:pStyle w:val="Normal"/>
        <w:numPr>
          <w:ilvl w:val="0"/>
          <w:numId w:val="4"/>
        </w:numPr>
        <w:rPr/>
      </w:pPr>
      <w:r>
        <w:rPr/>
        <w:t>Largely exempt from federal regulation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Bilateral contracts allow for greater pricing flexibility and better long-term planning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Long-term contracts shield customers from price volatility.  Very limited spot market activity anticipated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Bilateral contracts are standard with some spot market purchases</w:t>
      </w:r>
    </w:p>
    <w:p>
      <w:pPr>
        <w:sectPr>
          <w:type w:val="continuous"/>
          <w:pgSz w:w="12240" w:h="15840"/>
          <w:pgMar w:left="1152" w:right="1152" w:gutter="0" w:header="0" w:top="1152" w:footer="0" w:bottom="1152"/>
          <w:cols w:num="2" w:space="708" w:equalWidth="true" w:sep="true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before="0" w:after="120"/>
        <w:jc w:val="center"/>
        <w:rPr/>
      </w:pPr>
      <w:r>
        <w:rPr/>
        <w:t>Retail Market</w:t>
      </w:r>
    </w:p>
    <w:p>
      <w:pPr>
        <w:sectPr>
          <w:type w:val="continuous"/>
          <w:pgSz w:w="12240" w:h="15840"/>
          <w:pgMar w:left="1152" w:right="1152" w:gutter="0" w:header="0" w:top="1152" w:footer="0" w:bottom="1152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2"/>
        </w:numPr>
        <w:rPr/>
      </w:pPr>
      <w:r>
        <w:rPr/>
        <w:t>Retail choice began before market was truly competitive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Wholesale and retail market restructuring combined in just 2 years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Stranded costs paid off in 2-5 years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Customer rate caps removed once stranded costs are paid off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Retail rates were frozen, so as energy prices skyrocketed, utilities couldn’t raise rates to cover energy costs.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Retail rate structure (stranded cost recovery charge) kept retail competitors from effectively competing on price against the incumbent utility.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Most customers never see price signals about true value of energy, so have no incentive to conserve or change usage patterns.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br w:type="column"/>
      </w:r>
      <w:r>
        <w:rPr/>
        <w:t>PUC can delay retail choice until competitive market exists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Retail markets set to open 5 years after wholesale restructuring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Stranded costs paid off over 12 years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No correlation between stranded cost repayment and price to beat, which must be offered to all small customers until January 1, 2007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Retail rates will drop by 6 % from 12/31/01 base rates and hold there as a cap for 5 years; may be adjusted twice yearly for significant changes in fuel or purchased energy costs.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Price-to-beat structure builds in competitive “head-room” for competing retail electric providers.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Price signals will change as energy market costs change, and competitors have enough flexibility to create diverse price and feature offerings.</w:t>
      </w:r>
    </w:p>
    <w:sectPr>
      <w:type w:val="continuous"/>
      <w:pgSz w:w="12240" w:h="15840"/>
      <w:pgMar w:left="1152" w:right="1152" w:gutter="0" w:header="0" w:top="1152" w:footer="0" w:bottom="1152"/>
      <w:cols w:num="2" w:space="708" w:equalWidth="true" w:sep="tru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6">
    <w:name w:val="heading 6"/>
    <w:basedOn w:val="Normal"/>
    <w:next w:val="BodyText"/>
    <w:qFormat/>
    <w:pPr>
      <w:keepNext w:val="true"/>
      <w:numPr>
        <w:ilvl w:val="5"/>
        <w:numId w:val="1"/>
      </w:numPr>
      <w:outlineLvl w:val="5"/>
    </w:pPr>
    <w:rPr>
      <w:rFonts w:ascii="Garamond" w:hAnsi="Garamond" w:cs="Garamond"/>
      <w:sz w:val="16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/>
    <w:rPr/>
  </w:style>
  <w:style w:type="paragraph" w:styleId="TestimonyQuestions">
    <w:name w:val="Testimony Questions"/>
    <w:basedOn w:val="Normal"/>
    <w:qFormat/>
    <w:pPr>
      <w:spacing w:lineRule="auto" w:line="360"/>
      <w:ind w:hanging="720" w:start="720" w:end="0"/>
      <w:jc w:val="both"/>
    </w:pPr>
    <w:rPr>
      <w:b/>
    </w:rPr>
  </w:style>
  <w:style w:type="paragraph" w:styleId="TestimonyAnswers">
    <w:name w:val="Testimony Answers"/>
    <w:basedOn w:val="Normal"/>
    <w:qFormat/>
    <w:pPr>
      <w:spacing w:lineRule="auto" w:line="360"/>
      <w:ind w:hanging="720" w:start="720" w:end="0"/>
      <w:jc w:val="both"/>
    </w:pPr>
    <w:rPr/>
  </w:style>
  <w:style w:type="paragraph" w:styleId="Testimony2ndpara">
    <w:name w:val="Testimony 2nd para"/>
    <w:basedOn w:val="Normal"/>
    <w:qFormat/>
    <w:pPr>
      <w:spacing w:lineRule="auto" w:line="360"/>
      <w:ind w:hanging="0" w:start="720" w:end="0"/>
      <w:jc w:val="both"/>
    </w:pPr>
    <w:rPr/>
  </w:style>
  <w:style w:type="paragraph" w:styleId="ChapterTitle">
    <w:name w:val="Chapter Title"/>
    <w:basedOn w:val="Normal"/>
    <w:next w:val="Normal"/>
    <w:qFormat/>
    <w:pPr>
      <w:keepNext w:val="true"/>
      <w:keepLines/>
      <w:spacing w:lineRule="atLeast" w:line="440" w:before="480" w:after="360"/>
      <w:ind w:hanging="0" w:start="0" w:end="2160"/>
    </w:pPr>
    <w:rPr>
      <w:rFonts w:ascii="Arial Black" w:hAnsi="Arial Black" w:cs="Arial Black"/>
      <w:color w:val="808080"/>
      <w:spacing w:val="-35"/>
      <w:kern w:val="2"/>
      <w:sz w:val="44"/>
    </w:rPr>
  </w:style>
  <w:style w:type="paragraph" w:styleId="ListNumber">
    <w:name w:val="List Number"/>
    <w:basedOn w:val="List"/>
    <w:qFormat/>
    <w:pPr>
      <w:numPr>
        <w:ilvl w:val="0"/>
        <w:numId w:val="5"/>
      </w:numPr>
      <w:spacing w:before="0" w:after="240"/>
      <w:ind w:hanging="360" w:start="720" w:end="360"/>
      <w:jc w:val="both"/>
    </w:pPr>
    <w:rPr>
      <w:rFonts w:ascii="Garamond" w:hAnsi="Garamond" w:cs="Garamond"/>
      <w:spacing w:val="-5"/>
    </w:rPr>
  </w:style>
  <w:style w:type="paragraph" w:styleId="Boxes12">
    <w:name w:val="Boxes12"/>
    <w:basedOn w:val="Normal"/>
    <w:qFormat/>
    <w:pPr>
      <w:shd w:fill="DFDFDF" w:val="clear"/>
      <w:jc w:val="center"/>
    </w:pPr>
    <w:rPr>
      <w:i/>
      <w:sz w:val="28"/>
      <w:lang w:val="en-CA" w:eastAsia="en-C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2001-05-01T20:05:00Z</dcterms:created>
  <dc:creator>Edie Heuss</dc:creator>
  <dc:description/>
  <dc:language>en-CA</dc:language>
  <cp:lastModifiedBy>jryall</cp:lastModifiedBy>
  <cp:lastPrinted>2001-05-01T17:18:00Z</cp:lastPrinted>
  <dcterms:modified xsi:type="dcterms:W3CDTF">2001-05-01T20:05:00Z</dcterms:modified>
  <cp:revision>2</cp:revision>
  <dc:subject/>
  <dc:title>Key Points of Comparison</dc:title>
</cp:coreProperties>
</file>