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Key Legislation Affecting the Energy Market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With approximately 30 days remaining in the Texas legislative session, the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redistricting battle seems to have limited the number of energy bills that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are being considered. 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However, two electric bills are being debated at this time.  HB 2107 would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return excess collected stranded costs to consumers with a refund and a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reduction in wires charges.  This measure was pulled from floor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consideration by its author, Sylvester Turner of Houston and will be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reconsidered on May 8th.  We are supporting this bill with amended language.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The second bill, HB 1692, would delay the implementation of retail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competition in non ERCOT areas.  This bill primarily was intended to delay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competition in the panhandle of Texas.  We are opposing this bill.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The sunset bills to the Railroad Commission and the TNRCC may redefine how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these agencies work and interact with industry.  They are expected to pass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  <w:t>with many amendments offered in both chambers.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2001-05-01T20:14:00Z</dcterms:created>
  <dc:creator>jryall</dc:creator>
  <dc:description/>
  <dc:language>en-CA</dc:language>
  <cp:lastModifiedBy>jryall</cp:lastModifiedBy>
  <dcterms:modified xsi:type="dcterms:W3CDTF">2001-05-01T20:39:00Z</dcterms:modified>
  <cp:revision>3</cp:revision>
  <dc:subject/>
  <dc:title>Key Legislation Affecting the Energy Market</dc:title>
</cp:coreProperties>
</file>