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cPr>
          <w:p>
            <w:pPr>
              <w:pStyle w:val="Heading"/>
              <w:rPr/>
            </w:pPr>
            <w:r>
              <w:rPr/>
              <w:t xml:space="preserve">Juan J. Araiza </w:t>
            </w:r>
          </w:p>
          <w:p>
            <w:pPr>
              <w:pStyle w:val="Subtitle"/>
              <w:tabs>
                <w:tab w:val="clear" w:pos="720"/>
                <w:tab w:val="right" w:pos="10800" w:leader="none"/>
              </w:tabs>
              <w:rPr/>
            </w:pPr>
            <w:r>
              <w:rPr/>
              <w:t>Present Address</w:t>
            </w:r>
            <w:r>
              <w:rPr>
                <w:u w:val="none"/>
              </w:rPr>
              <w:tab/>
            </w:r>
            <w:r>
              <w:rPr/>
              <w:t>Permanent Address</w:t>
            </w:r>
            <w:r>
              <w:rPr>
                <w:u w:val="none"/>
              </w:rPr>
              <w:t xml:space="preserve">                                            </w:t>
            </w:r>
          </w:p>
          <w:p>
            <w:pPr>
              <w:pStyle w:val="Subtitle"/>
              <w:tabs>
                <w:tab w:val="clear" w:pos="720"/>
                <w:tab w:val="right" w:pos="10800" w:leader="none"/>
              </w:tabs>
              <w:rPr>
                <w:u w:val="none"/>
              </w:rPr>
            </w:pPr>
            <w:r>
              <w:rPr>
                <w:u w:val="none"/>
              </w:rPr>
              <w:t>715 Stadium Dr., #2330</w:t>
              <w:tab/>
              <w:t>427 Dogwood Trl.</w:t>
            </w:r>
          </w:p>
          <w:p>
            <w:pPr>
              <w:pStyle w:val="Normal"/>
              <w:tabs>
                <w:tab w:val="clear" w:pos="720"/>
                <w:tab w:val="right" w:pos="10800" w:leader="none"/>
              </w:tabs>
              <w:rPr/>
            </w:pPr>
            <w:r>
              <w:rPr/>
              <w:t>San Antonio, TX 78212</w:t>
              <w:tab/>
              <w:t xml:space="preserve">Desoto, TX 75115 </w:t>
            </w:r>
          </w:p>
          <w:p>
            <w:pPr>
              <w:pStyle w:val="Normal"/>
              <w:tabs>
                <w:tab w:val="clear" w:pos="720"/>
                <w:tab w:val="right" w:pos="10800" w:leader="none"/>
              </w:tabs>
              <w:rPr/>
            </w:pPr>
            <w:r>
              <w:rPr/>
              <w:t>(210) 999-4748</w:t>
              <w:tab/>
              <w:t>(972) 274-2349</w:t>
            </w:r>
          </w:p>
          <w:p>
            <w:pPr>
              <w:pStyle w:val="Normal"/>
              <w:tabs>
                <w:tab w:val="clear" w:pos="720"/>
                <w:tab w:val="right" w:pos="10800" w:leader="none"/>
              </w:tabs>
              <w:rPr/>
            </w:pPr>
            <w:r>
              <w:rPr/>
              <w:t>jaraiza@trinity.edu</w:t>
              <w:tab/>
            </w:r>
          </w:p>
          <w:p>
            <w:pPr>
              <w:pStyle w:val="Normal"/>
              <w:tabs>
                <w:tab w:val="clear" w:pos="720"/>
                <w:tab w:val="right" w:pos="10800" w:leader="none"/>
              </w:tabs>
              <w:rPr>
                <w:b/>
                <w:bCs/>
                <w:sz w:val="24"/>
                <w:szCs w:val="24"/>
              </w:rPr>
            </w:pPr>
            <w:r>
              <w:rPr>
                <w:b/>
                <w:bCs/>
                <w:sz w:val="24"/>
                <w:szCs w:val="24"/>
              </w:rPr>
            </w:r>
          </w:p>
        </w:tc>
      </w:tr>
    </w:tbl>
    <w:p>
      <w:pPr>
        <w:pStyle w:val="Normal"/>
        <w:pBdr>
          <w:top w:val="single" w:sz="4" w:space="1" w:color="000000"/>
        </w:pBdr>
        <w:rPr>
          <w:b/>
          <w:bCs/>
          <w:sz w:val="24"/>
          <w:szCs w:val="24"/>
        </w:rPr>
      </w:pPr>
      <w:r>
        <w:rPr>
          <w:b/>
          <w:bCs/>
          <w:sz w:val="24"/>
          <w:szCs w:val="24"/>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rPr>
                <w:b/>
                <w:bCs/>
                <w:sz w:val="24"/>
                <w:szCs w:val="24"/>
              </w:rPr>
            </w:pPr>
            <w:r>
              <w:rPr>
                <w:b/>
                <w:bCs/>
                <w:sz w:val="24"/>
                <w:szCs w:val="24"/>
              </w:rPr>
              <w:t>OBJECTIVE:</w:t>
            </w:r>
          </w:p>
        </w:tc>
        <w:tc>
          <w:tcPr>
            <w:tcW w:w="8838" w:type="dxa"/>
            <w:tcBorders/>
          </w:tcPr>
          <w:p>
            <w:pPr>
              <w:pStyle w:val="Normal"/>
              <w:rPr/>
            </w:pPr>
            <w:r>
              <w:rPr/>
              <w:t>Entry-level finance position</w:t>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rPr>
                <w:b/>
                <w:bCs/>
                <w:sz w:val="24"/>
                <w:szCs w:val="24"/>
              </w:rPr>
            </w:pPr>
            <w:r>
              <w:rPr>
                <w:b/>
                <w:bCs/>
                <w:sz w:val="24"/>
                <w:szCs w:val="24"/>
              </w:rPr>
              <w:t>EDUCATION:</w:t>
            </w:r>
          </w:p>
        </w:tc>
        <w:tc>
          <w:tcPr>
            <w:tcW w:w="8838" w:type="dxa"/>
            <w:tcBorders/>
          </w:tcPr>
          <w:p>
            <w:pPr>
              <w:pStyle w:val="Normal"/>
              <w:tabs>
                <w:tab w:val="clear" w:pos="720"/>
                <w:tab w:val="right" w:pos="8622" w:leader="none"/>
              </w:tabs>
              <w:rPr>
                <w:b/>
                <w:bCs/>
              </w:rPr>
            </w:pPr>
            <w:r>
              <w:rPr>
                <w:b/>
                <w:bCs/>
              </w:rPr>
              <w:t>Trinity University</w:t>
              <w:tab/>
              <w:t>San Antonio, TX</w:t>
            </w:r>
          </w:p>
          <w:p>
            <w:pPr>
              <w:pStyle w:val="Normal"/>
              <w:rPr/>
            </w:pPr>
            <w:r>
              <w:rPr/>
              <w:t>Candidate for B.S. in Business Administration and Economics May 2001</w:t>
            </w:r>
          </w:p>
          <w:p>
            <w:pPr>
              <w:pStyle w:val="Normal"/>
              <w:rPr/>
            </w:pPr>
            <w:r>
              <w:rPr/>
              <w:t xml:space="preserve">Concentration: Finance </w:t>
            </w:r>
          </w:p>
          <w:p>
            <w:pPr>
              <w:pStyle w:val="Normal"/>
              <w:rPr/>
            </w:pPr>
            <w:r>
              <w:rPr/>
              <w:t xml:space="preserve">                           </w:t>
            </w:r>
          </w:p>
          <w:p>
            <w:pPr>
              <w:pStyle w:val="Normal"/>
              <w:rPr/>
            </w:pPr>
            <w:r>
              <w:rPr>
                <w:b/>
                <w:bCs/>
              </w:rPr>
              <w:t>University of Texas at Arlington</w:t>
            </w:r>
            <w:r>
              <w:rPr/>
              <w:t xml:space="preserve">                                                                                             </w:t>
            </w:r>
            <w:r>
              <w:rPr>
                <w:b/>
                <w:bCs/>
              </w:rPr>
              <w:t>Arlington, TX</w:t>
            </w:r>
          </w:p>
          <w:p>
            <w:pPr>
              <w:pStyle w:val="Normal"/>
              <w:rPr/>
            </w:pPr>
            <w:r>
              <w:rPr/>
              <w:t>Summer Semester, Marketing and Finance, June/July 1999</w:t>
            </w:r>
          </w:p>
        </w:tc>
      </w:tr>
    </w:tbl>
    <w:p>
      <w:pPr>
        <w:pStyle w:val="Normal"/>
        <w:rPr/>
      </w:pPr>
      <w:r>
        <w:rPr/>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rPr>
                <w:b/>
                <w:bCs/>
                <w:sz w:val="24"/>
                <w:szCs w:val="24"/>
              </w:rPr>
            </w:pPr>
            <w:r>
              <w:rPr>
                <w:b/>
                <w:bCs/>
                <w:sz w:val="24"/>
                <w:szCs w:val="24"/>
              </w:rPr>
              <w:t>EXPERIENCE:</w:t>
            </w:r>
          </w:p>
        </w:tc>
        <w:tc>
          <w:tcPr>
            <w:tcW w:w="8838" w:type="dxa"/>
            <w:tcBorders/>
          </w:tcPr>
          <w:p>
            <w:pPr>
              <w:pStyle w:val="Heading5"/>
              <w:ind w:hanging="0" w:start="0"/>
              <w:rPr/>
            </w:pPr>
            <w:r>
              <w:rPr/>
              <w:t>American Express Financial Advisors                                                                               San Antonio, TX</w:t>
            </w:r>
          </w:p>
          <w:p>
            <w:pPr>
              <w:pStyle w:val="Heading5"/>
              <w:ind w:hanging="0" w:start="0"/>
              <w:rPr/>
            </w:pPr>
            <w:r>
              <w:rPr>
                <w:b w:val="false"/>
                <w:bCs/>
              </w:rPr>
              <w:t>Planning Analyst</w:t>
            </w:r>
            <w:r>
              <w:rPr/>
              <w:t xml:space="preserve">                                                                                                                              </w:t>
            </w:r>
            <w:r>
              <w:rPr>
                <w:b w:val="false"/>
                <w:bCs/>
              </w:rPr>
              <w:t>12/00-5/01</w:t>
            </w:r>
          </w:p>
          <w:p>
            <w:pPr>
              <w:pStyle w:val="Heading5"/>
              <w:ind w:hanging="0" w:start="0"/>
              <w:rPr>
                <w:b w:val="false"/>
                <w:bCs/>
              </w:rPr>
            </w:pPr>
            <w:r>
              <w:rPr>
                <w:b w:val="false"/>
                <w:bCs/>
              </w:rPr>
              <w:t>Assisted financial advisors in gathering, reviewing, analyzing data and preparing financial plans for clients.  Responsible for all preparatory stages of the financial planning process from case analysis to implementation of the financial plan</w:t>
            </w:r>
          </w:p>
          <w:p>
            <w:pPr>
              <w:pStyle w:val="Heading5"/>
              <w:ind w:hanging="0" w:start="0"/>
              <w:rPr>
                <w:b w:val="false"/>
                <w:bCs/>
              </w:rPr>
            </w:pPr>
            <w:r>
              <w:rPr>
                <w:b w:val="false"/>
                <w:bCs/>
              </w:rPr>
            </w:r>
          </w:p>
          <w:p>
            <w:pPr>
              <w:pStyle w:val="Heading5"/>
              <w:ind w:hanging="0" w:start="0"/>
              <w:rPr/>
            </w:pPr>
            <w:r>
              <w:rPr/>
              <w:t>Trinity University Student Managed Fund                                                                       San Antonio, TX</w:t>
            </w:r>
          </w:p>
          <w:p>
            <w:pPr>
              <w:pStyle w:val="Heading4"/>
              <w:ind w:hanging="0" w:start="0"/>
              <w:rPr/>
            </w:pPr>
            <w:r>
              <w:rPr>
                <w:b w:val="false"/>
                <w:bCs/>
                <w:i w:val="false"/>
                <w:iCs/>
              </w:rPr>
              <w:t>Co-Manager</w:t>
            </w:r>
            <w:r>
              <w:rPr/>
              <w:tab/>
              <w:tab/>
              <w:tab/>
              <w:tab/>
              <w:tab/>
              <w:t xml:space="preserve">                                            </w:t>
            </w:r>
            <w:r>
              <w:rPr>
                <w:i w:val="false"/>
                <w:iCs/>
              </w:rPr>
              <w:t xml:space="preserve">             </w:t>
            </w:r>
            <w:r>
              <w:rPr>
                <w:b w:val="false"/>
                <w:bCs/>
                <w:i w:val="false"/>
                <w:iCs/>
              </w:rPr>
              <w:t xml:space="preserve">             8/99-5/00</w:t>
            </w:r>
          </w:p>
          <w:p>
            <w:pPr>
              <w:pStyle w:val="BodyTextIndent3"/>
              <w:ind w:start="0" w:end="0"/>
              <w:rPr/>
            </w:pPr>
            <w:r>
              <w:rPr/>
              <w:t>A class of 20 students, including a distinguished professor of finance, manage over $500,000 of Trinity’s endowment.  Students research stocks through fundamental and technical analysis, present report to class and vote by secret ballot on whether to accept or reject.  Discussions are based upon recent financial news and selected books for study.  Class is offered for a full-year term.  Investing is done with a long-term horizon in mind.  Maintained approximately a 20% return since the class’s inception on July 1</w:t>
            </w:r>
            <w:r>
              <w:rPr>
                <w:vertAlign w:val="superscript"/>
              </w:rPr>
              <w:t>st</w:t>
            </w:r>
            <w:r>
              <w:rPr/>
              <w:t xml:space="preserve"> 1998, and achieving a higher return than the S&amp;P 500.</w:t>
            </w:r>
            <w:r>
              <w:rPr>
                <w:sz w:val="18"/>
              </w:rPr>
              <w:t xml:space="preserve">  </w:t>
            </w:r>
          </w:p>
          <w:p>
            <w:pPr>
              <w:pStyle w:val="Normal"/>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snapToGrid w:val="false"/>
              <w:rPr>
                <w:b/>
                <w:bCs/>
                <w:sz w:val="24"/>
                <w:szCs w:val="24"/>
              </w:rPr>
            </w:pPr>
            <w:r>
              <w:rPr>
                <w:b/>
                <w:bCs/>
                <w:sz w:val="24"/>
                <w:szCs w:val="24"/>
              </w:rPr>
            </w:r>
          </w:p>
        </w:tc>
        <w:tc>
          <w:tcPr>
            <w:tcW w:w="8838" w:type="dxa"/>
            <w:tcBorders/>
          </w:tcPr>
          <w:p>
            <w:pPr>
              <w:pStyle w:val="Normal"/>
              <w:tabs>
                <w:tab w:val="clear" w:pos="720"/>
                <w:tab w:val="right" w:pos="8622" w:leader="none"/>
              </w:tabs>
              <w:rPr>
                <w:b/>
                <w:bCs/>
              </w:rPr>
            </w:pPr>
            <w:r>
              <w:rPr>
                <w:b/>
                <w:bCs/>
              </w:rPr>
              <w:t>Araiza Tortilla Company</w:t>
              <w:tab/>
              <w:t>Dallas, TX</w:t>
            </w:r>
          </w:p>
          <w:p>
            <w:pPr>
              <w:pStyle w:val="Normal"/>
              <w:tabs>
                <w:tab w:val="clear" w:pos="720"/>
                <w:tab w:val="right" w:pos="8622" w:leader="none"/>
              </w:tabs>
              <w:rPr/>
            </w:pPr>
            <w:r>
              <w:rPr/>
              <w:t>Administrative Assistant</w:t>
              <w:tab/>
              <w:t>Summers 97, 98, 99</w:t>
            </w:r>
          </w:p>
          <w:p>
            <w:pPr>
              <w:pStyle w:val="Normal"/>
              <w:rPr/>
            </w:pPr>
            <w:r>
              <w:rPr>
                <w:bCs/>
              </w:rPr>
              <w:t>General office work, handled employee payroll, took and processed production orders, delivery.</w:t>
            </w:r>
            <w:r>
              <w:rPr/>
              <w:t xml:space="preserve"> </w:t>
            </w:r>
          </w:p>
        </w:tc>
      </w:tr>
    </w:tbl>
    <w:p>
      <w:pPr>
        <w:pStyle w:val="Normal"/>
        <w:rPr/>
      </w:pPr>
      <w:r>
        <w:rPr/>
      </w:r>
    </w:p>
    <w:p>
      <w:pPr>
        <w:pStyle w:val="Normal"/>
        <w:rPr/>
      </w:pPr>
      <w:r>
        <w:rPr/>
      </w:r>
    </w:p>
    <w:p>
      <w:pPr>
        <w:pStyle w:val="Normal"/>
        <w:rPr/>
      </w:pPr>
      <w:r>
        <w:rPr/>
      </w:r>
    </w:p>
    <w:p>
      <w:pPr>
        <w:pStyle w:val="Normal"/>
        <w:tabs>
          <w:tab w:val="clear" w:pos="720"/>
          <w:tab w:val="left" w:pos="2160" w:leader="none"/>
        </w:tabs>
        <w:rPr/>
      </w:pPr>
      <w:r>
        <w:rPr>
          <w:b/>
          <w:bCs/>
          <w:sz w:val="24"/>
          <w:szCs w:val="24"/>
        </w:rPr>
        <w:t>ACTIVITIES:</w:t>
        <w:tab/>
      </w:r>
      <w:r>
        <w:rPr/>
        <w:t>Alpha Delta Epsilon (social fraternity)</w:t>
      </w:r>
    </w:p>
    <w:p>
      <w:pPr>
        <w:pStyle w:val="Normal"/>
        <w:tabs>
          <w:tab w:val="clear" w:pos="720"/>
          <w:tab w:val="left" w:pos="2160" w:leader="none"/>
        </w:tabs>
        <w:rPr/>
      </w:pPr>
      <w:r>
        <w:rPr>
          <w:b/>
          <w:bCs/>
          <w:sz w:val="24"/>
          <w:szCs w:val="24"/>
        </w:rPr>
        <w:tab/>
      </w:r>
      <w:r>
        <w:rPr/>
        <w:t>Trinity University Men’s Lacrosse</w:t>
      </w:r>
    </w:p>
    <w:p>
      <w:pPr>
        <w:pStyle w:val="Normal"/>
        <w:tabs>
          <w:tab w:val="clear" w:pos="720"/>
          <w:tab w:val="left" w:pos="2160" w:leader="none"/>
        </w:tabs>
        <w:rPr/>
      </w:pPr>
      <w:r>
        <w:rPr>
          <w:b/>
          <w:bCs/>
          <w:sz w:val="24"/>
          <w:szCs w:val="24"/>
        </w:rPr>
        <w:tab/>
      </w:r>
      <w:r>
        <w:rPr/>
        <w:t>Latino Exchange</w:t>
      </w:r>
    </w:p>
    <w:p>
      <w:pPr>
        <w:pStyle w:val="Normal"/>
        <w:autoSpaceDE w:val="true"/>
        <w:ind w:firstLine="720" w:start="720" w:end="0"/>
        <w:rPr/>
      </w:pPr>
      <w:r>
        <w:rPr/>
        <w:tab/>
      </w:r>
    </w:p>
    <w:p>
      <w:pPr>
        <w:pStyle w:val="Normal"/>
        <w:autoSpaceDE w:val="true"/>
        <w:rPr>
          <w:b/>
          <w:bCs/>
          <w:sz w:val="24"/>
        </w:rPr>
      </w:pPr>
      <w:r>
        <w:rPr>
          <w:b/>
          <w:bCs/>
          <w:sz w:val="24"/>
        </w:rPr>
        <w:t xml:space="preserve">CONFERENCES </w:t>
      </w:r>
    </w:p>
    <w:p>
      <w:pPr>
        <w:pStyle w:val="Normal"/>
        <w:autoSpaceDE w:val="true"/>
        <w:rPr/>
      </w:pPr>
      <w:r>
        <w:rPr>
          <w:b/>
          <w:bCs/>
          <w:sz w:val="24"/>
        </w:rPr>
        <w:t>ATTENDED</w:t>
      </w:r>
      <w:r>
        <w:rPr/>
        <w:t xml:space="preserve">:        </w:t>
        <w:tab/>
        <w:t>III Congreso de Comercio Internacional Monterrey, Mexico 2000 “Mexico Dentro y Fuera”</w:t>
      </w:r>
    </w:p>
    <w:p>
      <w:pPr>
        <w:pStyle w:val="Normal"/>
        <w:autoSpaceDE w:val="true"/>
        <w:ind w:firstLine="720" w:start="1440" w:end="0"/>
        <w:rPr/>
      </w:pPr>
      <w:r>
        <w:rPr/>
        <w:t>IV Congreso de Comercio Internacional Monterrey, Mexico 1999 “Caos, cambio, y futuro”</w:t>
      </w:r>
    </w:p>
    <w:p>
      <w:pPr>
        <w:pStyle w:val="Normal"/>
        <w:tabs>
          <w:tab w:val="clear" w:pos="720"/>
          <w:tab w:val="left" w:pos="2160" w:leader="none"/>
        </w:tabs>
        <w:rPr/>
      </w:pPr>
      <w:r>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rPr>
                <w:b/>
                <w:bCs/>
                <w:sz w:val="24"/>
                <w:szCs w:val="24"/>
              </w:rPr>
            </w:pPr>
            <w:r>
              <w:rPr>
                <w:b/>
                <w:bCs/>
                <w:sz w:val="24"/>
                <w:szCs w:val="24"/>
              </w:rPr>
              <w:t>SKILLS:</w:t>
            </w:r>
          </w:p>
        </w:tc>
        <w:tc>
          <w:tcPr>
            <w:tcW w:w="8838" w:type="dxa"/>
            <w:tcBorders/>
          </w:tcPr>
          <w:p>
            <w:pPr>
              <w:pStyle w:val="Normal"/>
              <w:rPr/>
            </w:pPr>
            <w:r>
              <w:rPr/>
              <w:t>Knowledgeable and experienced with all Windows applications and Macintosh OS.</w:t>
            </w:r>
          </w:p>
          <w:p>
            <w:pPr>
              <w:pStyle w:val="Normal"/>
              <w:rPr/>
            </w:pPr>
            <w:r>
              <w:rPr/>
              <w:t>Applications include Microsoft Office 2000, Web publishing and C++</w:t>
            </w:r>
          </w:p>
          <w:p>
            <w:pPr>
              <w:pStyle w:val="Normal"/>
              <w:rPr/>
            </w:pPr>
            <w:r>
              <w:rPr/>
              <w:t xml:space="preserve">Webmaster for: </w:t>
            </w:r>
            <w:hyperlink r:id="rId2">
              <w:r>
                <w:rPr>
                  <w:rStyle w:val="Hyperlink"/>
                </w:rPr>
                <w:t>www.trinity.edu/pcooley/smf/index.htm</w:t>
              </w:r>
            </w:hyperlink>
          </w:p>
          <w:p>
            <w:pPr>
              <w:pStyle w:val="Normal"/>
              <w:rPr/>
            </w:pPr>
            <w:r>
              <w:rPr/>
              <w:t>Language Skills: Spanish and Intermediate level French</w:t>
            </w:r>
          </w:p>
          <w:p>
            <w:pPr>
              <w:pStyle w:val="Normal"/>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178"/>
        <w:gridCol w:w="8838"/>
      </w:tblGrid>
      <w:tr>
        <w:trPr/>
        <w:tc>
          <w:tcPr>
            <w:tcW w:w="2178" w:type="dxa"/>
            <w:tcBorders/>
          </w:tcPr>
          <w:p>
            <w:pPr>
              <w:pStyle w:val="Normal"/>
              <w:rPr>
                <w:b/>
                <w:bCs/>
                <w:sz w:val="24"/>
                <w:szCs w:val="24"/>
              </w:rPr>
            </w:pPr>
            <w:r>
              <w:rPr>
                <w:b/>
                <w:bCs/>
                <w:sz w:val="24"/>
                <w:szCs w:val="24"/>
              </w:rPr>
              <w:t>REFERENCES:</w:t>
            </w:r>
          </w:p>
        </w:tc>
        <w:tc>
          <w:tcPr>
            <w:tcW w:w="8838" w:type="dxa"/>
            <w:tcBorders/>
          </w:tcPr>
          <w:p>
            <w:pPr>
              <w:pStyle w:val="Normal"/>
              <w:rPr/>
            </w:pPr>
            <w:r>
              <w:rPr/>
              <w:t>Furnished upon request.</w:t>
            </w:r>
          </w:p>
        </w:tc>
      </w:tr>
    </w:tbl>
    <w:p>
      <w:pPr>
        <w:pStyle w:val="Normal"/>
        <w:rPr/>
      </w:pPr>
      <w:r>
        <w:rPr/>
      </w:r>
    </w:p>
    <w:sectPr>
      <w:type w:val="nextPage"/>
      <w:pgSz w:w="12240" w:h="15840"/>
      <w:pgMar w:left="720" w:right="720" w:gutter="0" w:header="0" w:top="5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autoSpaceDE w:val="true"/>
      <w:outlineLvl w:val="3"/>
    </w:pPr>
    <w:rPr>
      <w:rFonts w:eastAsia="Arial Unicode MS"/>
      <w:b/>
      <w:i/>
    </w:rPr>
  </w:style>
  <w:style w:type="paragraph" w:styleId="Heading5">
    <w:name w:val="heading 5"/>
    <w:basedOn w:val="Normal"/>
    <w:next w:val="Normal"/>
    <w:qFormat/>
    <w:pPr>
      <w:keepNext w:val="true"/>
      <w:numPr>
        <w:ilvl w:val="4"/>
        <w:numId w:val="1"/>
      </w:numPr>
      <w:autoSpaceDE w:val="true"/>
      <w:outlineLvl w:val="4"/>
    </w:pPr>
    <w:rPr>
      <w:rFonts w:eastAsia="Arial Unicode MS"/>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BodyTextIndent3">
    <w:name w:val="Body Text Indent 3"/>
    <w:basedOn w:val="Normal"/>
    <w:qFormat/>
    <w:pPr>
      <w:autoSpaceDE w:val="true"/>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inity.edu/pcooley/smf/index.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2001-03-05T19:30:00Z</dcterms:created>
  <dc:creator>eRecruiting.com</dc:creator>
  <dc:description/>
  <dc:language>en-CA</dc:language>
  <cp:lastModifiedBy>jaraiza</cp:lastModifiedBy>
  <cp:lastPrinted>2001-03-05T15:57:00Z</cp:lastPrinted>
  <dcterms:modified xsi:type="dcterms:W3CDTF">2001-03-05T19:30:00Z</dcterms:modified>
  <cp:revision>2</cp:revision>
  <dc:subject/>
  <dc:title>Harold E Bolton </dc:title>
</cp:coreProperties>
</file>