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sz w:val="16"/>
        </w:rPr>
        <w:t xml:space="preserve">102885   </w:t>
      </w:r>
      <w:r>
        <w:rPr/>
        <w:t>LYN/GFB/TRP/sid  7/24/2001</w:t>
      </w:r>
    </w:p>
    <w:p>
      <w:pPr>
        <w:pStyle w:val="main"/>
        <w:rPr>
          <w:sz w:val="22"/>
        </w:rPr>
      </w:pPr>
      <w:r>
        <w:rPr>
          <w:sz w:val="22"/>
        </w:rPr>
      </w:r>
    </w:p>
    <w:p>
      <w:pPr>
        <w:pStyle w:val="main"/>
        <w:rPr>
          <w:sz w:val="22"/>
        </w:rPr>
      </w:pPr>
      <w:r>
        <w:rPr>
          <w:sz w:val="22"/>
        </w:rPr>
      </w:r>
    </w:p>
    <w:p>
      <w:pPr>
        <w:pStyle w:val="main"/>
        <w:rPr>
          <w:sz w:val="22"/>
        </w:rPr>
      </w:pPr>
      <w:r>
        <w:rPr>
          <w:sz w:val="22"/>
        </w:rPr>
      </w:r>
    </w:p>
    <w:p>
      <w:pPr>
        <w:pStyle w:val="main"/>
        <w:rPr>
          <w:sz w:val="22"/>
        </w:rPr>
      </w:pPr>
      <w:r>
        <w:rPr>
          <w:sz w:val="22"/>
        </w:rPr>
      </w:r>
    </w:p>
    <w:p>
      <w:pPr>
        <w:pStyle w:val="main"/>
        <w:rPr>
          <w:sz w:val="22"/>
        </w:rPr>
      </w:pPr>
      <w:r>
        <w:rPr>
          <w:sz w:val="22"/>
        </w:rPr>
        <w:t>BEFORE THE PUBLIC UTILITIES COMMISSION OF THE STATE OF CALIFORNIA</w:t>
      </w:r>
    </w:p>
    <w:p>
      <w:pPr>
        <w:pStyle w:val="FootnoteText"/>
        <w:suppressAutoHyphens w:val="true"/>
        <w:rPr>
          <w:sz w:val="22"/>
        </w:rPr>
      </w:pPr>
      <w:r>
        <w:rPr>
          <w:sz w:val="22"/>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sz w:val="24"/>
              </w:rPr>
            </w:pPr>
            <w:r>
              <w:rPr>
                <w:sz w:val="24"/>
              </w:rPr>
              <w:t>Application of Southern California Edison Company (U 338-E) for Authority to Institute a Rate Stabilization Plan with a Rate Increase and End of Rate Freeze Tariffs.</w:t>
            </w:r>
          </w:p>
          <w:p>
            <w:pPr>
              <w:pStyle w:val="Normal"/>
              <w:rPr>
                <w:sz w:val="24"/>
              </w:rPr>
            </w:pPr>
            <w:r>
              <w:rPr>
                <w:sz w:val="24"/>
              </w:rPr>
            </w:r>
          </w:p>
        </w:tc>
        <w:tc>
          <w:tcPr>
            <w:tcW w:w="3287" w:type="dxa"/>
            <w:tcBorders/>
          </w:tcPr>
          <w:p>
            <w:pPr>
              <w:pStyle w:val="Normal"/>
              <w:snapToGrid w:val="false"/>
              <w:jc w:val="center"/>
              <w:rPr>
                <w:sz w:val="24"/>
              </w:rPr>
            </w:pPr>
            <w:r>
              <w:rPr>
                <w:sz w:val="24"/>
              </w:rPr>
            </w:r>
          </w:p>
          <w:p>
            <w:pPr>
              <w:pStyle w:val="Normal"/>
              <w:jc w:val="center"/>
              <w:rPr>
                <w:sz w:val="24"/>
              </w:rPr>
            </w:pPr>
            <w:r>
              <w:rPr>
                <w:sz w:val="24"/>
              </w:rPr>
              <w:t>Application 00-11-038</w:t>
            </w:r>
          </w:p>
          <w:p>
            <w:pPr>
              <w:pStyle w:val="Normal"/>
              <w:jc w:val="center"/>
              <w:rPr>
                <w:sz w:val="24"/>
              </w:rPr>
            </w:pPr>
            <w:r>
              <w:rPr>
                <w:sz w:val="24"/>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sz w:val="24"/>
              </w:rPr>
            </w:pPr>
            <w:r>
              <w:rPr>
                <w:sz w:val="24"/>
              </w:rPr>
            </w:r>
          </w:p>
          <w:p>
            <w:pPr>
              <w:pStyle w:val="Normal"/>
              <w:tabs>
                <w:tab w:val="clear" w:pos="720"/>
                <w:tab w:val="left" w:pos="2160" w:leader="none"/>
                <w:tab w:val="left" w:pos="3600" w:leader="none"/>
              </w:tabs>
              <w:rPr>
                <w:sz w:val="24"/>
              </w:rPr>
            </w:pPr>
            <w:r>
              <w:rPr>
                <w:sz w:val="24"/>
              </w:rPr>
              <w:t>Emergency Application of Pacific Gas and Electric Company (U 39 E) to Adopt a Rate Stabilization Plan.</w:t>
            </w:r>
          </w:p>
          <w:p>
            <w:pPr>
              <w:pStyle w:val="Normal"/>
              <w:rPr>
                <w:sz w:val="24"/>
              </w:rPr>
            </w:pPr>
            <w:r>
              <w:rPr>
                <w:sz w:val="24"/>
              </w:rPr>
            </w:r>
          </w:p>
        </w:tc>
        <w:tc>
          <w:tcPr>
            <w:tcW w:w="3287" w:type="dxa"/>
            <w:tcBorders/>
          </w:tcPr>
          <w:p>
            <w:pPr>
              <w:pStyle w:val="Normal"/>
              <w:snapToGrid w:val="false"/>
              <w:jc w:val="center"/>
              <w:rPr>
                <w:sz w:val="24"/>
              </w:rPr>
            </w:pPr>
            <w:r>
              <w:rPr>
                <w:sz w:val="24"/>
              </w:rPr>
            </w:r>
          </w:p>
          <w:p>
            <w:pPr>
              <w:pStyle w:val="Normal"/>
              <w:jc w:val="center"/>
              <w:rPr>
                <w:sz w:val="24"/>
              </w:rPr>
            </w:pPr>
            <w:r>
              <w:rPr>
                <w:sz w:val="24"/>
              </w:rPr>
              <w:t>Application 00-11-056</w:t>
            </w:r>
          </w:p>
          <w:p>
            <w:pPr>
              <w:pStyle w:val="Normal"/>
              <w:jc w:val="center"/>
              <w:rPr>
                <w:sz w:val="24"/>
              </w:rPr>
            </w:pPr>
            <w:r>
              <w:rPr>
                <w:sz w:val="24"/>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sz w:val="24"/>
              </w:rPr>
            </w:pPr>
            <w:r>
              <w:rPr>
                <w:sz w:val="24"/>
              </w:rPr>
            </w:r>
          </w:p>
          <w:p>
            <w:pPr>
              <w:pStyle w:val="Normal"/>
              <w:tabs>
                <w:tab w:val="clear" w:pos="720"/>
                <w:tab w:val="left" w:pos="2160" w:leader="none"/>
                <w:tab w:val="left" w:pos="3600" w:leader="none"/>
              </w:tabs>
              <w:rPr>
                <w:sz w:val="24"/>
              </w:rPr>
            </w:pPr>
            <w:r>
              <w:rPr>
                <w:sz w:val="24"/>
              </w:rPr>
              <w:t>Petition of The Utility Reform Network for Modification of Resolution E-3527.</w:t>
            </w:r>
          </w:p>
          <w:p>
            <w:pPr>
              <w:pStyle w:val="Normal"/>
              <w:rPr>
                <w:sz w:val="24"/>
              </w:rPr>
            </w:pPr>
            <w:r>
              <w:rPr>
                <w:sz w:val="24"/>
              </w:rPr>
            </w:r>
          </w:p>
        </w:tc>
        <w:tc>
          <w:tcPr>
            <w:tcW w:w="3287" w:type="dxa"/>
            <w:tcBorders/>
          </w:tcPr>
          <w:p>
            <w:pPr>
              <w:pStyle w:val="Normal"/>
              <w:snapToGrid w:val="false"/>
              <w:jc w:val="center"/>
              <w:rPr>
                <w:sz w:val="24"/>
              </w:rPr>
            </w:pPr>
            <w:r>
              <w:rPr>
                <w:sz w:val="24"/>
              </w:rPr>
            </w:r>
          </w:p>
          <w:p>
            <w:pPr>
              <w:pStyle w:val="Normal"/>
              <w:jc w:val="center"/>
              <w:rPr>
                <w:sz w:val="24"/>
              </w:rPr>
            </w:pPr>
            <w:r>
              <w:rPr>
                <w:sz w:val="24"/>
              </w:rPr>
              <w:t>Application 00-10-028</w:t>
            </w:r>
          </w:p>
          <w:p>
            <w:pPr>
              <w:pStyle w:val="Normal"/>
              <w:jc w:val="center"/>
              <w:rPr>
                <w:sz w:val="24"/>
              </w:rPr>
            </w:pPr>
            <w:r>
              <w:rPr>
                <w:sz w:val="24"/>
              </w:rPr>
              <w:t>(Filed October 17, 2000)</w:t>
            </w:r>
          </w:p>
        </w:tc>
      </w:tr>
    </w:tbl>
    <w:p>
      <w:pPr>
        <w:pStyle w:val="Normal"/>
        <w:suppressAutoHyphens w:val="true"/>
        <w:rPr>
          <w:sz w:val="24"/>
        </w:rPr>
      </w:pPr>
      <w:r>
        <w:rPr>
          <w:sz w:val="24"/>
        </w:rPr>
      </w:r>
    </w:p>
    <w:p>
      <w:pPr>
        <w:pStyle w:val="Normal"/>
        <w:rPr>
          <w:sz w:val="24"/>
        </w:rPr>
      </w:pPr>
      <w:r>
        <w:rPr>
          <w:sz w:val="24"/>
        </w:rPr>
      </w:r>
    </w:p>
    <w:p>
      <w:pPr>
        <w:pStyle w:val="Normal"/>
        <w:ind w:firstLine="720" w:start="1440" w:end="0"/>
        <w:rPr>
          <w:b/>
          <w:sz w:val="24"/>
        </w:rPr>
      </w:pPr>
      <w:r>
        <w:rPr>
          <w:b/>
          <w:sz w:val="24"/>
        </w:rPr>
        <w:t>JOINT ASSIGNED COMMISSIONERS’ RULING</w:t>
      </w:r>
    </w:p>
    <w:p>
      <w:pPr>
        <w:pStyle w:val="Normal"/>
        <w:ind w:firstLine="720" w:start="2160" w:end="0"/>
        <w:rPr>
          <w:b/>
          <w:sz w:val="24"/>
        </w:rPr>
      </w:pPr>
      <w:r>
        <w:rPr>
          <w:b/>
          <w:sz w:val="24"/>
        </w:rPr>
        <w:t>SOLICITING COMMENTS ON</w:t>
      </w:r>
    </w:p>
    <w:p>
      <w:pPr>
        <w:pStyle w:val="Normal"/>
        <w:ind w:start="1440" w:end="0"/>
        <w:rPr>
          <w:b/>
          <w:sz w:val="24"/>
        </w:rPr>
      </w:pPr>
      <w:r>
        <w:rPr>
          <w:b/>
          <w:sz w:val="24"/>
        </w:rPr>
        <w:t>DEPARTMENT OF WATER RESOURCES SUBMITTAL</w:t>
      </w:r>
    </w:p>
    <w:p>
      <w:pPr>
        <w:pStyle w:val="Normal"/>
        <w:ind w:start="1440" w:end="0"/>
        <w:rPr>
          <w:b/>
          <w:sz w:val="24"/>
        </w:rPr>
      </w:pPr>
      <w:r>
        <w:rPr>
          <w:b/>
          <w:sz w:val="24"/>
        </w:rPr>
      </w:r>
    </w:p>
    <w:p>
      <w:pPr>
        <w:pStyle w:val="Normal"/>
        <w:spacing w:lineRule="auto" w:line="360"/>
        <w:ind w:firstLine="720" w:end="0"/>
        <w:rPr>
          <w:sz w:val="24"/>
        </w:rPr>
      </w:pPr>
      <w:r>
        <w:rPr>
          <w:sz w:val="24"/>
        </w:rPr>
        <w:t xml:space="preserve">In a memorandum dated July 23, 2001, the California Department of Water Resources (DWR) submitted its Revised Revenue Requirement to the Commission.  This memorandum and its attachments are provided with this ruling as Appendix A.  This Revised Revenue Requirement supersedes the revenue requirement submitted on May 2, 2001, and which was attached to Decision (D.) 01-05-064 as Attachment B.  As described in the July 12 assigned Administrative Law Judge’s (ALJ) ruling, the Commission hereby solicits comment on the Revised Revenue Requirement submitted by DWR.  </w:t>
      </w:r>
    </w:p>
    <w:p>
      <w:pPr>
        <w:pStyle w:val="Normal"/>
        <w:spacing w:lineRule="auto" w:line="360"/>
        <w:ind w:firstLine="720" w:end="0"/>
        <w:rPr>
          <w:sz w:val="24"/>
        </w:rPr>
      </w:pPr>
      <w:r>
        <w:rPr>
          <w:sz w:val="24"/>
        </w:rPr>
        <w:t xml:space="preserve">This ruling asks DWR to provide additional information by July 26, 2001, so that the Revised Revenue Requirement can be properly understood and integrated into the rates approved by the Commission on May 15, 2001, effective June 1, 2001 for Southern California Edison Company (SCE) and Pacific Gas and Electric Company (PG&amp;E).  This ruling applies to supporting documentation relating to the provisioning of electricity in the service territories of PG&amp;E and SCE.  Revenue requirement issues for San Diego Gas &amp; Electric Company (SDG&amp;E) are being addressed in separate dockets, A.00-10-045 and A.01-01-044.  </w:t>
      </w:r>
    </w:p>
    <w:p>
      <w:pPr>
        <w:pStyle w:val="Normal"/>
        <w:spacing w:lineRule="auto" w:line="360"/>
        <w:ind w:firstLine="720" w:end="0"/>
        <w:rPr>
          <w:b/>
          <w:sz w:val="24"/>
        </w:rPr>
      </w:pPr>
      <w:r>
        <w:rPr>
          <w:sz w:val="24"/>
        </w:rPr>
        <w:t>Parties of record in the above-captioned dockets and in the SDG&amp;E dockets, A.00</w:t>
        <w:noBreakHyphen/>
        <w:t>10</w:t>
        <w:noBreakHyphen/>
        <w:t>045 and A.01-01-044 are also invited to attend a technical workshop, with participation from DWR, scheduled for 9:00 a.m., on Friday, July 27, 2001, for the purpose of providing an opportunity to ask questions and seek further clarification from DWR regarding the derivation of its revenue requirements.</w:t>
      </w:r>
    </w:p>
    <w:p>
      <w:pPr>
        <w:pStyle w:val="Normal"/>
        <w:spacing w:lineRule="auto" w:line="360"/>
        <w:ind w:firstLine="720" w:end="0"/>
        <w:rPr/>
      </w:pPr>
      <w:r>
        <w:rPr>
          <w:sz w:val="24"/>
        </w:rPr>
        <w:t>Although this ruling in this docket is limited to addressing the Revised Revenue Requirement for PG&amp;E and SCE service territories, the July 27 workshop will include consideration of the Revised Revenue Requirement for the SDG&amp;E service territory, as well.  Public notice of the July 27 workshop in the Commission's Daily Calendar shall include the SDG&amp;E Dockets, A.00-10-045 and A.01-01-044, as well as the PG&amp;E and SCE Dockets referenced above.  Finally, this ruling notes certain policy issues raised by DWR’s July 23 submission.</w:t>
      </w:r>
      <w:r>
        <w:rPr>
          <w:rStyle w:val="FootnoteCharacters"/>
          <w:rStyle w:val="FootnoteReference"/>
          <w:sz w:val="24"/>
        </w:rPr>
        <w:footnoteReference w:id="2"/>
      </w:r>
      <w:r>
        <w:rPr>
          <w:sz w:val="24"/>
        </w:rPr>
        <w:t xml:space="preserve">  The deadline for receipt of comments on the DWR revenue requirement is set for August 3, 2001.  The Commission will take further action to implement the DWR revenue requirement after receipt and review of parties' comments, as further explained below. </w:t>
      </w:r>
    </w:p>
    <w:p>
      <w:pPr>
        <w:pStyle w:val="Normal"/>
        <w:rPr>
          <w:sz w:val="24"/>
        </w:rPr>
      </w:pPr>
      <w:r>
        <w:rPr>
          <w:b/>
          <w:sz w:val="24"/>
        </w:rPr>
        <w:t xml:space="preserve">Background </w:t>
      </w:r>
    </w:p>
    <w:p>
      <w:pPr>
        <w:pStyle w:val="Normal"/>
        <w:spacing w:lineRule="auto" w:line="360"/>
        <w:ind w:firstLine="720" w:end="0"/>
        <w:rPr>
          <w:sz w:val="24"/>
        </w:rPr>
      </w:pPr>
      <w:r>
        <w:rPr>
          <w:sz w:val="24"/>
        </w:rPr>
        <w:t xml:space="preserve">On February 1, 2001, Assembly Bill 1 from the First Extraordinary Session (AB1X) was signed into law.  AB1X ensures that DWR will be paid for electricity it sells to end-use customers in California.  AB1X sets out a framework under which DWR will submit a revenue requirement to the Commission, which will set rates so that DWR can recover its revenue requirements. </w:t>
      </w:r>
    </w:p>
    <w:p>
      <w:pPr>
        <w:pStyle w:val="Normal"/>
        <w:spacing w:lineRule="auto" w:line="360"/>
        <w:ind w:firstLine="720" w:end="0"/>
        <w:rPr>
          <w:sz w:val="24"/>
        </w:rPr>
      </w:pPr>
      <w:r>
        <w:rPr>
          <w:sz w:val="24"/>
        </w:rPr>
        <w:t xml:space="preserve">In preparing their comments on the Revised Revenue Requirement, parties may take into account the proposed Rate Agreement between the Commission and DWR (Rate Agreement).  A draft Rate Agreement was circulated for comment on July 18, 2001, and will be voted on by the Commission at the same time as the Revised Revenue Requirement is reflected in rates.  The Rate Agreement provides a useful context for parties' review and comment on the Revised Revenue Requirement.  Parties' consideration of the Revised Revenue Requirement may prove useful in framing their comments on the draft Rate Agreement. </w:t>
      </w:r>
    </w:p>
    <w:p>
      <w:pPr>
        <w:pStyle w:val="Normal"/>
        <w:spacing w:lineRule="auto" w:line="360"/>
        <w:ind w:firstLine="720" w:end="0"/>
        <w:rPr>
          <w:sz w:val="24"/>
        </w:rPr>
      </w:pPr>
      <w:r>
        <w:rPr>
          <w:sz w:val="24"/>
        </w:rPr>
        <w:t xml:space="preserve">As noted in the ALJ Ruling of July 12, 2001, DWR previously sent a letter to the Commission on May 2, 2001, communicating its revenue requirement information.  Upon review, the Commission staff determined that the information provided in the May 2, 2001 DWR letter was not sufficient to implement DWR's revenue requirement and to allocate the necessary rate elements between utilities and DWR for that purpose.  Accordingly, to assist in implementing a DWR revenue requirement and related allocation of existing utility revenues collected in rates by PG&amp;E and SCE, Commissioner Geoffrey F. Brown sent a letter to the Director of DWR on June 18, 2001.  Commissioner Brown sought additional information to supplement and clarify the data provided in the May 2, 2001 DWR letter.  On June 26, 2001, Commissioner Brown sent a subsequent letter to DWR seeking further information relating to DWR revenue requirement and allocation issues.  These communications are attached as Appendices B and C to this ruling. </w:t>
      </w:r>
    </w:p>
    <w:p>
      <w:pPr>
        <w:pStyle w:val="Normal"/>
        <w:spacing w:lineRule="auto" w:line="360"/>
        <w:ind w:firstLine="720" w:end="0"/>
        <w:rPr>
          <w:sz w:val="24"/>
        </w:rPr>
      </w:pPr>
      <w:r>
        <w:rPr>
          <w:sz w:val="24"/>
        </w:rPr>
        <w:t xml:space="preserve">The ALJ ruling issued on July 12 advised parties of the procedural plan for addressing DWR’s revenue requirement.  That ruling stated parties would be provided an opportunity to comment on DWR’s data submittal relating to its revenue requirements, including the Revised Revenue Requirement submitted to the Commission on July 23, 2001.  </w:t>
      </w:r>
    </w:p>
    <w:p>
      <w:pPr>
        <w:pStyle w:val="Heading1"/>
        <w:ind w:hanging="0" w:start="0"/>
        <w:rPr/>
      </w:pPr>
      <w:r>
        <w:rPr/>
        <w:t xml:space="preserve">The Revised Revenue Requirement Submission </w:t>
      </w:r>
    </w:p>
    <w:p>
      <w:pPr>
        <w:pStyle w:val="Normal"/>
        <w:spacing w:lineRule="auto" w:line="360"/>
        <w:ind w:firstLine="720" w:end="0"/>
        <w:rPr>
          <w:sz w:val="24"/>
        </w:rPr>
      </w:pPr>
      <w:r>
        <w:rPr>
          <w:sz w:val="24"/>
        </w:rPr>
        <w:t xml:space="preserve">DWR's July 23rd memorandum to Commissioner Brown was accompanied by a data submittal which provides a description of the DWR revenue requirement.  Notable elements of the DWR's data submittal submission include: </w:t>
      </w:r>
    </w:p>
    <w:p>
      <w:pPr>
        <w:pStyle w:val="BodyText"/>
        <w:suppressAutoHyphens w:val="false"/>
        <w:autoSpaceDE w:val="true"/>
        <w:ind w:hanging="270" w:start="990" w:end="0"/>
        <w:rPr/>
      </w:pPr>
      <w:r>
        <w:rPr/>
        <w:t>o  DWR seeks to collect $13.072 billion from utility customers for electricity sold during the period from January 17, 2001 to December 31, 2002.  This revenue is expected to pay for 118,930 GWh of power.</w:t>
        <w:br/>
        <w:t xml:space="preserve"> </w:t>
      </w:r>
    </w:p>
    <w:p>
      <w:pPr>
        <w:pStyle w:val="Normal"/>
        <w:ind w:hanging="270" w:start="990" w:end="0"/>
        <w:rPr>
          <w:sz w:val="24"/>
        </w:rPr>
      </w:pPr>
      <w:r>
        <w:rPr>
          <w:sz w:val="24"/>
        </w:rPr>
        <w:t>o  Using the additional detail provided in Table A-3, it appears that the $13.072 billion figure will recover a portion of total energy expenditures by DWR.  Total expenditures are estimated to be approximately $20,640,000, broken down as follows:  $9.623 billion for contract power, $9.666 billion in spot market purchases, $1.088 billion for ancillary services, $863 million for demand-side management costs, $349 million for “financing costs,” and $50.6 million for administrative and general expenditures.</w:t>
      </w:r>
    </w:p>
    <w:p>
      <w:pPr>
        <w:pStyle w:val="Normal"/>
        <w:tabs>
          <w:tab w:val="clear" w:pos="720"/>
          <w:tab w:val="left" w:pos="990" w:leader="none"/>
        </w:tabs>
        <w:ind w:hanging="1080" w:end="0"/>
        <w:rPr>
          <w:sz w:val="24"/>
        </w:rPr>
      </w:pPr>
      <w:r>
        <w:rPr>
          <w:sz w:val="24"/>
        </w:rPr>
      </w:r>
    </w:p>
    <w:p>
      <w:pPr>
        <w:pStyle w:val="Normal"/>
        <w:ind w:hanging="270" w:start="990" w:end="0"/>
        <w:rPr>
          <w:sz w:val="24"/>
        </w:rPr>
      </w:pPr>
      <w:r>
        <w:rPr>
          <w:sz w:val="24"/>
        </w:rPr>
        <w:t xml:space="preserve">o  The Revised Revenue Requirement covers a lengthy period of time, from January, 2001 to December 31, 2002.  DWR has presented its revenue requirements by calendar quarter, and by utility service territory. </w:t>
        <w:br/>
      </w:r>
      <w:r>
        <w:br w:type="page"/>
      </w:r>
    </w:p>
    <w:p>
      <w:pPr>
        <w:pStyle w:val="Normal"/>
        <w:ind w:hanging="270" w:start="990" w:end="0"/>
        <w:rPr>
          <w:sz w:val="24"/>
        </w:rPr>
      </w:pPr>
      <w:r>
        <w:rPr>
          <w:sz w:val="24"/>
        </w:rPr>
        <w:t>o  The Revised Revenue Requirement reflects updated assumptions of net short energy requirements, reflecting execution of additional purchased power contracts, lower natural gas prices, and lower spot market prices, compared with the previous May 2, 2001 forecast.</w:t>
        <w:br/>
        <w:t xml:space="preserve"> </w:t>
      </w:r>
    </w:p>
    <w:p>
      <w:pPr>
        <w:pStyle w:val="BodyText"/>
        <w:tabs>
          <w:tab w:val="clear" w:pos="720"/>
          <w:tab w:val="left" w:pos="1800" w:leader="none"/>
        </w:tabs>
        <w:suppressAutoHyphens w:val="false"/>
        <w:autoSpaceDE w:val="true"/>
        <w:ind w:hanging="270" w:start="990" w:end="0"/>
        <w:rPr/>
      </w:pPr>
      <w:r>
        <w:rPr/>
        <w:t>o  Anticipated effects of the June 19, 2001 Federal Energy Regulatory Commission order on market mitigation (floating price caps) have been incorporated in the spot market purchase forecast included in the Revised Revenue Requirement.</w:t>
        <w:br/>
      </w:r>
    </w:p>
    <w:p>
      <w:pPr>
        <w:pStyle w:val="Normal"/>
        <w:ind w:hanging="270" w:start="990" w:end="0"/>
        <w:rPr>
          <w:sz w:val="24"/>
        </w:rPr>
      </w:pPr>
      <w:r>
        <w:rPr>
          <w:sz w:val="24"/>
        </w:rPr>
        <w:t xml:space="preserve">o  Forecasts have been modified to incorporate anticipated effects of load management and voluntary load curtailment programs. </w:t>
        <w:br/>
      </w:r>
    </w:p>
    <w:p>
      <w:pPr>
        <w:pStyle w:val="Normal"/>
        <w:ind w:hanging="900" w:start="900" w:end="0"/>
        <w:rPr>
          <w:sz w:val="24"/>
        </w:rPr>
      </w:pPr>
      <w:r>
        <w:rPr>
          <w:sz w:val="24"/>
        </w:rPr>
        <w:t xml:space="preserve">          </w:t>
      </w:r>
      <w:r>
        <w:rPr>
          <w:sz w:val="24"/>
        </w:rPr>
        <w:t>o  The timing of cash payments for power and revenues from ratepayers have been refined to more accurately reflect anticipated lags between disbursement and collection.</w:t>
        <w:br/>
      </w:r>
    </w:p>
    <w:p>
      <w:pPr>
        <w:pStyle w:val="Heading1"/>
        <w:ind w:hanging="0" w:start="0"/>
        <w:rPr/>
      </w:pPr>
      <w:r>
        <w:rPr/>
        <w:t>Solicitation of Comments</w:t>
      </w:r>
    </w:p>
    <w:p>
      <w:pPr>
        <w:pStyle w:val="Normal"/>
        <w:spacing w:lineRule="auto" w:line="360"/>
        <w:ind w:firstLine="720" w:end="0"/>
        <w:rPr>
          <w:sz w:val="24"/>
        </w:rPr>
      </w:pPr>
      <w:r>
        <w:rPr>
          <w:sz w:val="24"/>
        </w:rPr>
        <w:t xml:space="preserve">This ruling provides parties the opportunity to file written comments regarding the DWR revenue requirement.  As indicated by a Joint Memorandum dated July 2, 2001 provided by DWR, the Treasurer's Office, and the Department of Finance, the revenue requirements for DWR must be implemented on a timely basis to enable necessary bond financing to be finalized and to ensure that a sufficient cash flow will continue to DWR in order to meet its energy procurement obligations, as mandated by the statute.  (The Joint Memorandum is Appendix D.) </w:t>
      </w:r>
    </w:p>
    <w:p>
      <w:pPr>
        <w:pStyle w:val="BodyTextIndent"/>
        <w:ind w:firstLine="720" w:start="0" w:end="0"/>
        <w:rPr/>
      </w:pPr>
      <w:r>
        <w:rPr/>
        <w:t>There are two elements to the solicitation of comments.  First, parties are asked to comment on the Revised Revenue Requirement as set forth in the July 23, 2001 submittal, attached as Appendix A to this ruling.  In particular, comments are solicited regarding:</w:t>
      </w:r>
    </w:p>
    <w:p>
      <w:pPr>
        <w:pStyle w:val="Normal"/>
        <w:numPr>
          <w:ilvl w:val="0"/>
          <w:numId w:val="11"/>
        </w:numPr>
        <w:tabs>
          <w:tab w:val="clear" w:pos="720"/>
          <w:tab w:val="left" w:pos="1170" w:leader="none"/>
        </w:tabs>
        <w:ind w:hanging="360" w:start="1170" w:end="0"/>
        <w:rPr>
          <w:sz w:val="24"/>
        </w:rPr>
      </w:pPr>
      <w:r>
        <w:rPr>
          <w:sz w:val="24"/>
        </w:rPr>
        <w:t>Any relationship between the revenue requirements for Utility Retained Generation (URG) that was submitted as testimony in this proceeding on July 16, 2001</w:t>
      </w:r>
      <w:r>
        <w:rPr>
          <w:rStyle w:val="FootnoteCharacters"/>
          <w:rStyle w:val="FootnoteReference"/>
          <w:sz w:val="24"/>
        </w:rPr>
        <w:footnoteReference w:id="3"/>
      </w:r>
      <w:r>
        <w:rPr>
          <w:sz w:val="24"/>
        </w:rPr>
        <w:t xml:space="preserve"> and the DWR Revised Revenue Requirements.  Parties should identify and explain, as applicable, any significant differences among the assumptions underlying the URG and DWR figures, respectively (e.g., fuel costs, QF outputs, </w:t>
      </w:r>
      <w:r>
        <w:br w:type="page"/>
      </w:r>
    </w:p>
    <w:p>
      <w:pPr>
        <w:pStyle w:val="Normal"/>
        <w:ind w:start="1170" w:end="0"/>
        <w:rPr>
          <w:sz w:val="24"/>
        </w:rPr>
      </w:pPr>
      <w:r>
        <w:rPr>
          <w:sz w:val="24"/>
        </w:rPr>
        <w:t xml:space="preserve">contract deliveries, treatment of imbalance energy, ancillary service costs, etc).  Parties should also indicate whether there are any differences in assumptions as to how much of each utility's net short position will be covered by DWR. </w:t>
        <w:br/>
      </w:r>
    </w:p>
    <w:p>
      <w:pPr>
        <w:pStyle w:val="Normal"/>
        <w:numPr>
          <w:ilvl w:val="0"/>
          <w:numId w:val="16"/>
        </w:numPr>
        <w:tabs>
          <w:tab w:val="clear" w:pos="720"/>
          <w:tab w:val="left" w:pos="1260" w:leader="none"/>
        </w:tabs>
        <w:ind w:hanging="360" w:start="1260" w:end="0"/>
        <w:rPr>
          <w:sz w:val="24"/>
        </w:rPr>
      </w:pPr>
      <w:r>
        <w:rPr>
          <w:sz w:val="24"/>
        </w:rPr>
        <w:t xml:space="preserve">In providing its revised revenue requirement, DWR notes that its request is for the establishment of “specific charges payable to [DWR] for power sold by [DWR] to” retail end-use customers, as required by Division 27 of the Water Code.  In the comments, parties should address the question of what form the "specific charges" required by Division 27 should take for purposes of a conforming Commission order.  For example, should "specific charges" be authorized for DWR in the form of a gross revenue dollar amount to be derived from rates collected in the service territory of each of the utilities, or should "specific charges" be authorized in the form of a separate rate element (i.e., cents per kWh) separately designated for DWR? </w:t>
      </w:r>
    </w:p>
    <w:p>
      <w:pPr>
        <w:pStyle w:val="Normal"/>
        <w:ind w:start="1260" w:end="0"/>
        <w:rPr>
          <w:sz w:val="24"/>
        </w:rPr>
      </w:pPr>
      <w:r>
        <w:rPr>
          <w:sz w:val="24"/>
        </w:rPr>
      </w:r>
    </w:p>
    <w:p>
      <w:pPr>
        <w:pStyle w:val="Heading1"/>
        <w:ind w:hanging="0" w:start="0"/>
        <w:rPr/>
      </w:pPr>
      <w:r>
        <w:rPr/>
        <w:t>Additional Information Sought From DWR</w:t>
      </w:r>
    </w:p>
    <w:p>
      <w:pPr>
        <w:pStyle w:val="Normal"/>
        <w:spacing w:lineRule="auto" w:line="360"/>
        <w:ind w:firstLine="634" w:end="0"/>
        <w:rPr/>
      </w:pPr>
      <w:r>
        <w:rPr>
          <w:sz w:val="24"/>
        </w:rPr>
        <w:t>Second, DWR is asked to provide further information to the co-assigned Commissioners.  This Commission first sought this additional information from DWR on June 18</w:t>
      </w:r>
      <w:r>
        <w:rPr>
          <w:sz w:val="24"/>
          <w:vertAlign w:val="superscript"/>
        </w:rPr>
        <w:t>th</w:t>
      </w:r>
      <w:r>
        <w:rPr>
          <w:sz w:val="24"/>
        </w:rPr>
        <w:t>, in a letter from Commissioner Brown.  This request was supplemented in a second letter, dated June 26</w:t>
      </w:r>
      <w:r>
        <w:rPr>
          <w:sz w:val="24"/>
          <w:vertAlign w:val="superscript"/>
        </w:rPr>
        <w:t>th</w:t>
      </w:r>
      <w:r>
        <w:rPr>
          <w:sz w:val="24"/>
        </w:rPr>
        <w:t>.  Finally, Commission staff engaged in clarifying discussions with representatives of DWR, and provided written explanations to DWR’s representatives on July 11</w:t>
      </w:r>
      <w:r>
        <w:rPr>
          <w:sz w:val="24"/>
          <w:vertAlign w:val="superscript"/>
        </w:rPr>
        <w:t>th</w:t>
      </w:r>
      <w:r>
        <w:rPr>
          <w:sz w:val="24"/>
        </w:rPr>
        <w:t>.  The Revised Revenue Requirement does not respond to these requests.  After review of the revenue requirement and supporting documentation submitted by DWR on July 23, we must reiterate that further explanatory information is needed in order to allow this Commission to conduct this proceeding for the purpose of addressing the DWR revenue requirement.  The additional information requested of DWR is listed below:</w:t>
      </w:r>
    </w:p>
    <w:p>
      <w:pPr>
        <w:pStyle w:val="Normal"/>
        <w:numPr>
          <w:ilvl w:val="1"/>
          <w:numId w:val="11"/>
        </w:numPr>
        <w:tabs>
          <w:tab w:val="clear" w:pos="720"/>
          <w:tab w:val="left" w:pos="1080" w:leader="none"/>
        </w:tabs>
        <w:ind w:hanging="360" w:start="1080" w:end="0"/>
        <w:rPr>
          <w:sz w:val="24"/>
        </w:rPr>
      </w:pPr>
      <w:r>
        <w:rPr>
          <w:sz w:val="24"/>
        </w:rPr>
        <w:t>It is not clear from the summary material provided by DWR whether DWR has already received all of the revenue it believes it is owed by the IOUs for its power purchases on their behalf since January and, if not, how any shortfall in revenues received to date is accounted for in the $13 billion revenue requirement.  The Commission has already required PG&amp;E and Edison to pay prescribed amounts of revenues to DWR from funds collected from customers, but DWR has not provided information that shows whether the IOUs have in fact remitted all of the funds to DWR, or if DWR has included any uncollected portion of these past revenues in this revenue requirement.  Therefore, the Commission requests that DWR provide detailed calculations that show exactly how the funds that are already being collected from the utilities per D.01-03-081 are reflected in the calculations of its revenue requirement, and how any shortfall in these collections was calculated and included in the revenue requirement.  We require this information in order to determine the extent to which DWR has been funded for certain portions of its revenue requirement and what portion must be funded on an ongoing basis.  This information was requested from DWR in the written material submitted by the Commission staff on July 11</w:t>
      </w:r>
      <w:r>
        <w:rPr>
          <w:sz w:val="24"/>
          <w:vertAlign w:val="superscript"/>
        </w:rPr>
        <w:t>th</w:t>
      </w:r>
      <w:r>
        <w:rPr>
          <w:sz w:val="24"/>
        </w:rPr>
        <w:t>.</w:t>
      </w:r>
    </w:p>
    <w:p>
      <w:pPr>
        <w:pStyle w:val="Normal"/>
        <w:ind w:firstLine="360" w:end="0"/>
        <w:rPr>
          <w:sz w:val="24"/>
        </w:rPr>
      </w:pPr>
      <w:r>
        <w:rPr>
          <w:sz w:val="24"/>
        </w:rPr>
      </w:r>
    </w:p>
    <w:p>
      <w:pPr>
        <w:pStyle w:val="Normal"/>
        <w:numPr>
          <w:ilvl w:val="1"/>
          <w:numId w:val="11"/>
        </w:numPr>
        <w:tabs>
          <w:tab w:val="clear" w:pos="720"/>
          <w:tab w:val="left" w:pos="1080" w:leader="none"/>
        </w:tabs>
        <w:ind w:hanging="360" w:start="1080" w:end="0"/>
        <w:rPr>
          <w:sz w:val="24"/>
        </w:rPr>
      </w:pPr>
      <w:r>
        <w:rPr>
          <w:sz w:val="24"/>
        </w:rPr>
        <w:t>DWR should provide a complete explanation regarding how its revenue requirement for ancillary services was calculated. Based on the current revenue requirement, we cannot determine whether these costs are fully captured in the DWR revenue requirement, or whether these estimates completely capture the full amount of ancillary services for which DWR will be financially responsible.  This information was first requested in Commissioner Brown’s June 26</w:t>
      </w:r>
      <w:r>
        <w:rPr>
          <w:sz w:val="24"/>
          <w:vertAlign w:val="superscript"/>
        </w:rPr>
        <w:t>th</w:t>
      </w:r>
      <w:r>
        <w:rPr>
          <w:sz w:val="24"/>
        </w:rPr>
        <w:t xml:space="preserve"> letter .</w:t>
      </w:r>
    </w:p>
    <w:p>
      <w:pPr>
        <w:pStyle w:val="Normal"/>
        <w:numPr>
          <w:ilvl w:val="1"/>
          <w:numId w:val="11"/>
        </w:numPr>
        <w:tabs>
          <w:tab w:val="clear" w:pos="720"/>
          <w:tab w:val="left" w:pos="1080" w:leader="none"/>
        </w:tabs>
        <w:spacing w:before="240" w:after="0"/>
        <w:ind w:hanging="360" w:start="1080" w:end="0"/>
        <w:rPr>
          <w:sz w:val="24"/>
        </w:rPr>
      </w:pPr>
      <w:r>
        <w:rPr>
          <w:sz w:val="24"/>
        </w:rPr>
        <w:t>Exhibit C of the DWR response should be resubmitted in a format that includes numerical values, rather than simply referring the Commission to other calculations elsewhere in the material submitted.  The Draft Rate Agreement lists 13 categories of Operating Expenses that are to be included, along with Bond Related Costs, in the “retail revenue requirement”.  Exhibit C cannot be reconciled to the total revenue requirement until it is re-submitted with numerical values.  This information was first requested in Commissioner Brown’s June 26</w:t>
      </w:r>
      <w:r>
        <w:rPr>
          <w:sz w:val="24"/>
          <w:vertAlign w:val="superscript"/>
        </w:rPr>
        <w:t>th</w:t>
      </w:r>
      <w:r>
        <w:rPr>
          <w:sz w:val="24"/>
        </w:rPr>
        <w:t xml:space="preserve"> letter.</w:t>
      </w:r>
    </w:p>
    <w:p>
      <w:pPr>
        <w:pStyle w:val="standard"/>
        <w:numPr>
          <w:ilvl w:val="1"/>
          <w:numId w:val="11"/>
        </w:numPr>
        <w:tabs>
          <w:tab w:val="clear" w:pos="720"/>
          <w:tab w:val="left" w:pos="1080" w:leader="none"/>
        </w:tabs>
        <w:spacing w:lineRule="auto" w:line="240" w:before="240" w:after="0"/>
        <w:ind w:hanging="360" w:start="1080" w:end="0"/>
        <w:rPr>
          <w:rFonts w:ascii="Times New Roman" w:hAnsi="Times New Roman" w:cs="Times New Roman"/>
          <w:sz w:val="24"/>
        </w:rPr>
      </w:pPr>
      <w:r>
        <w:rPr>
          <w:rFonts w:cs="Times New Roman" w:ascii="Times New Roman" w:hAnsi="Times New Roman"/>
          <w:sz w:val="24"/>
        </w:rPr>
        <w:t>The Commission also requests that DWR provide a numerical illustration of the derivation of the 1.65 cents per kWh figure that [has been reported by the press] as representing the average portion of the average 3-cent rate increase adopted by the Commission in D.01-05-064 that DWR needs to receive, in order to generate the $13 billion revenue requirement stream that it has forecasted.</w:t>
      </w:r>
      <w:r>
        <w:rPr>
          <w:sz w:val="24"/>
        </w:rPr>
        <w:t xml:space="preserve"> This information was first requested in Commissioner Brown’s June 26</w:t>
      </w:r>
      <w:r>
        <w:rPr>
          <w:sz w:val="24"/>
          <w:vertAlign w:val="superscript"/>
        </w:rPr>
        <w:t>th</w:t>
      </w:r>
      <w:r>
        <w:rPr>
          <w:sz w:val="24"/>
        </w:rPr>
        <w:t xml:space="preserve"> letter.</w:t>
      </w:r>
      <w:r>
        <w:rPr>
          <w:rFonts w:cs="Times New Roman" w:ascii="Times New Roman" w:hAnsi="Times New Roman"/>
          <w:sz w:val="24"/>
        </w:rPr>
        <w:t xml:space="preserve">  </w:t>
      </w:r>
    </w:p>
    <w:p>
      <w:pPr>
        <w:pStyle w:val="Normal"/>
        <w:spacing w:lineRule="auto" w:line="360"/>
        <w:rPr>
          <w:rFonts w:ascii="Times New Roman" w:hAnsi="Times New Roman" w:cs="Times New Roman"/>
          <w:sz w:val="24"/>
        </w:rPr>
      </w:pPr>
      <w:r>
        <w:rPr>
          <w:rFonts w:cs="Times New Roman"/>
          <w:sz w:val="24"/>
        </w:rPr>
      </w:r>
    </w:p>
    <w:p>
      <w:pPr>
        <w:pStyle w:val="Normal"/>
        <w:spacing w:lineRule="auto" w:line="360"/>
        <w:ind w:firstLine="634" w:end="0"/>
        <w:rPr>
          <w:sz w:val="24"/>
        </w:rPr>
      </w:pPr>
      <w:r>
        <w:rPr>
          <w:sz w:val="24"/>
        </w:rPr>
        <w:t>The additional information is also requested to make sure that the Commission has before it a complete record in the review of the DWR revenue requirement, as required by AB1X.  A response to this request for additional information is due July 26, 2001.</w:t>
      </w:r>
    </w:p>
    <w:p>
      <w:pPr>
        <w:pStyle w:val="BodyText"/>
        <w:spacing w:lineRule="auto" w:line="360"/>
        <w:ind w:firstLine="720" w:end="0"/>
        <w:rPr/>
      </w:pPr>
      <w:r>
        <w:rPr/>
        <w:t xml:space="preserve">So that the parties will have an opportunity to comment on this additional information by the time their comments on the July 23 data submission are due, DWR should serve a copy of its July 26 submission by e-mail on the parties.  Further DWR should serve a copy of its July 26 submission on Commissioners Lynch and Brown, as well as ALJ Pulsifer.  DWR may provide under seal any of the responsive information that it deems to be confidential.  </w:t>
      </w:r>
    </w:p>
    <w:p>
      <w:pPr>
        <w:pStyle w:val="BodyText"/>
        <w:spacing w:lineRule="auto" w:line="360"/>
        <w:rPr>
          <w:b/>
        </w:rPr>
      </w:pPr>
      <w:r>
        <w:rPr>
          <w:b/>
        </w:rPr>
        <w:t>Technical Workshop</w:t>
      </w:r>
    </w:p>
    <w:p>
      <w:pPr>
        <w:pStyle w:val="BodyText"/>
        <w:spacing w:lineRule="auto" w:line="360"/>
        <w:ind w:firstLine="720" w:end="0"/>
        <w:rPr/>
      </w:pPr>
      <w:r>
        <w:rPr/>
        <w:t xml:space="preserve">In addition, parties are invited to attend a technical workshop scheduled for Friday, July 27, 2001, at 9:00 a.m., at the Commission's office to address the DWR revenue requirements.  By the time of the workshop, parties should have in hand the July 26 DWR response as well as the July 23 submittal.  The workshop will provide an opportunity for parties to ask any questions of DWR representatives to assist them in understanding the derivation and inputs underlying the DWR revenue requirement assumptions.  As a result of the workshop, parties should be better positioned to file comments on the DWR revenue requirement on August 3, 2001. </w:t>
      </w:r>
    </w:p>
    <w:p>
      <w:pPr>
        <w:pStyle w:val="BodyText"/>
        <w:spacing w:lineRule="auto" w:line="360"/>
        <w:ind w:firstLine="720" w:end="0"/>
        <w:rPr/>
      </w:pPr>
      <w:r>
        <w:rPr/>
        <w:t xml:space="preserve">We request that representatives of DWR with relevant technical subject matter expertise be available at the July 27 workshop to allow the parties to discuss DWR’s submission with the DWR representatives.  As noted above, the workshop shall include consideration of the revenue requirements for customers of SDG&amp;E as well as for those of PG&amp;E and SCE.  Therefore, the Commission's Daily Calendar shall provide notice of the workshop in the SDG&amp;E Docket, A.00-10-045 and A.01-01-044, as well, and a copy of this ruling shall be served on parties to those proceedings.  </w:t>
      </w:r>
    </w:p>
    <w:p>
      <w:pPr>
        <w:pStyle w:val="BodyText"/>
        <w:spacing w:lineRule="auto" w:line="360"/>
        <w:ind w:firstLine="720" w:end="0"/>
        <w:rPr/>
      </w:pPr>
      <w:r>
        <w:rPr/>
        <w:t>The workshop will be transcribed to provide a record.  Due to limitations on the size of the Commission’s meeting facilities, and the large service lists in the above-listed proceedings, only parties of record can be admitted to the workshop meeting room.</w:t>
      </w:r>
    </w:p>
    <w:p>
      <w:pPr>
        <w:pStyle w:val="BodyText"/>
        <w:spacing w:lineRule="auto" w:line="360"/>
        <w:rPr>
          <w:b/>
        </w:rPr>
      </w:pPr>
      <w:r>
        <w:rPr>
          <w:b/>
        </w:rPr>
        <w:t>Preparation of Draft Decision</w:t>
      </w:r>
    </w:p>
    <w:p>
      <w:pPr>
        <w:pStyle w:val="BodyText"/>
        <w:spacing w:lineRule="auto" w:line="360"/>
        <w:ind w:firstLine="720" w:end="0"/>
        <w:rPr/>
      </w:pPr>
      <w:r>
        <w:rPr/>
        <w:t>Parties' comments on the DWR Revised Revenue Requirement applicable to customers of PG&amp;E and SCE shall be due on August 3, 2001.  Once parties' comments have been received and reviewed, the assigned ALJ will prepare, and circulate for comment, a draft decision.  This draft decision will contain the ALJ’s recommendation regarding DWR’s revenue requirement and revenue (and/or rate element) allocation for PG&amp;E and SCE.  Any Commission action will take place only after public comment on the draft decision of the ALJ.  It is anticipated that the Commission will consider the ALJ’s draft decision on August 23, 2001. The Commission can accept, reject, or adopt a modified version of a draft decision.  The schedule for comments on the draft decision will be established when that decision is released.</w:t>
      </w:r>
    </w:p>
    <w:p>
      <w:pPr>
        <w:pStyle w:val="standard"/>
        <w:rPr>
          <w:b/>
          <w:sz w:val="24"/>
        </w:rPr>
      </w:pPr>
      <w:r>
        <w:rPr>
          <w:b/>
          <w:sz w:val="24"/>
        </w:rPr>
        <w:t xml:space="preserve">IT IS RULED </w:t>
      </w:r>
      <w:r>
        <w:rPr>
          <w:sz w:val="24"/>
        </w:rPr>
        <w:t>that:</w:t>
      </w:r>
    </w:p>
    <w:p>
      <w:pPr>
        <w:pStyle w:val="standard"/>
        <w:numPr>
          <w:ilvl w:val="0"/>
          <w:numId w:val="4"/>
        </w:numPr>
        <w:tabs>
          <w:tab w:val="left" w:pos="720" w:leader="none"/>
        </w:tabs>
        <w:ind w:firstLine="360" w:start="0" w:end="0"/>
        <w:rPr>
          <w:rFonts w:ascii="Times New Roman" w:hAnsi="Times New Roman" w:cs="Times New Roman"/>
          <w:sz w:val="24"/>
        </w:rPr>
      </w:pPr>
      <w:r>
        <w:rPr>
          <w:rFonts w:cs="Times New Roman" w:ascii="Times New Roman" w:hAnsi="Times New Roman"/>
          <w:sz w:val="24"/>
        </w:rPr>
        <w:t xml:space="preserve">Interested parties may file comments regarding the Department of Water Resources (DWR) revenue requirement and allocation of existing revenues to meet that requirement for customers of Pacific Gas and Electric Company (PG&amp;E) and Southern California Edison Company (SCE).  Comments shall be filed with the Commission’s Docket Office no later than August 3, 2001.  </w:t>
      </w:r>
    </w:p>
    <w:p>
      <w:pPr>
        <w:pStyle w:val="standard"/>
        <w:numPr>
          <w:ilvl w:val="0"/>
          <w:numId w:val="4"/>
        </w:numPr>
        <w:tabs>
          <w:tab w:val="left" w:pos="720" w:leader="none"/>
        </w:tabs>
        <w:ind w:firstLine="360" w:start="0" w:end="0"/>
        <w:rPr>
          <w:rFonts w:ascii="Times New Roman" w:hAnsi="Times New Roman" w:cs="Times New Roman"/>
          <w:sz w:val="24"/>
        </w:rPr>
      </w:pPr>
      <w:r>
        <w:rPr>
          <w:rFonts w:cs="Times New Roman" w:ascii="Times New Roman" w:hAnsi="Times New Roman"/>
          <w:sz w:val="24"/>
        </w:rPr>
        <w:t xml:space="preserve">As a basis for parties' comments, the July 23, 2001 revenue requirement submittal of DWR, as well as the letters previously sent by Commissioner Brown seeking information from DWR are attached hereto as Appendices A, B and C, respectively. </w:t>
      </w:r>
    </w:p>
    <w:p>
      <w:pPr>
        <w:pStyle w:val="standard"/>
        <w:numPr>
          <w:ilvl w:val="0"/>
          <w:numId w:val="4"/>
        </w:numPr>
        <w:tabs>
          <w:tab w:val="clear" w:pos="720"/>
        </w:tabs>
        <w:ind w:firstLine="360" w:start="0" w:end="0"/>
        <w:rPr>
          <w:rFonts w:ascii="Times New Roman" w:hAnsi="Times New Roman" w:cs="Times New Roman"/>
          <w:b/>
          <w:sz w:val="24"/>
        </w:rPr>
      </w:pPr>
      <w:r>
        <w:rPr>
          <w:rFonts w:cs="Times New Roman" w:ascii="Times New Roman" w:hAnsi="Times New Roman"/>
          <w:sz w:val="24"/>
        </w:rPr>
        <w:t xml:space="preserve">This ruling also seeks further clarifying information from DWR as specified in the body of this ruling above.  DWR is requested to provide a response to the questions posed above on July 26, 2001, and to serve its response by e-mail on the assigned Commissioners, the ALJ, and parties of record in each of the proceedings covered by the workshop notice. </w:t>
      </w:r>
    </w:p>
    <w:p>
      <w:pPr>
        <w:pStyle w:val="standard"/>
        <w:numPr>
          <w:ilvl w:val="0"/>
          <w:numId w:val="4"/>
        </w:numPr>
        <w:tabs>
          <w:tab w:val="clear" w:pos="720"/>
        </w:tabs>
        <w:ind w:firstLine="360" w:start="0" w:end="0"/>
        <w:rPr>
          <w:rFonts w:ascii="Times New Roman" w:hAnsi="Times New Roman" w:cs="Times New Roman"/>
          <w:b/>
          <w:sz w:val="24"/>
        </w:rPr>
      </w:pPr>
      <w:r>
        <w:rPr>
          <w:rFonts w:cs="Times New Roman" w:ascii="Times New Roman" w:hAnsi="Times New Roman"/>
          <w:sz w:val="24"/>
        </w:rPr>
        <w:t>A technical workshop is scheduled for 9:00 a.m., on July 27, 2001, at the Commission's offices at 505 Van Ness Avenue, San Francisco, California.  Representatives of DWR will be available at the workshop to answer questions and provide explanations regarding the derivation and underlying assumptions relating to the DWR revenue requirement.  A transcript record of the workshop shall be produced.</w:t>
      </w:r>
    </w:p>
    <w:p>
      <w:pPr>
        <w:pStyle w:val="standard"/>
        <w:numPr>
          <w:ilvl w:val="0"/>
          <w:numId w:val="4"/>
        </w:numPr>
        <w:tabs>
          <w:tab w:val="left" w:pos="720" w:leader="none"/>
        </w:tabs>
        <w:ind w:firstLine="360" w:start="0" w:end="0"/>
        <w:rPr>
          <w:rFonts w:ascii="Times New Roman" w:hAnsi="Times New Roman" w:cs="Times New Roman"/>
          <w:b/>
          <w:sz w:val="24"/>
        </w:rPr>
      </w:pPr>
      <w:r>
        <w:rPr>
          <w:rFonts w:cs="Times New Roman" w:ascii="Times New Roman" w:hAnsi="Times New Roman"/>
          <w:sz w:val="24"/>
        </w:rPr>
        <w:t>The July 27 workshop shall include consideration of SDG&amp;E's revenue requirement, as shall be noticed in the Commission's Daily Calendar.  A copy of this ruling shall also be served on the service list in A.00-10-045 and A.01-01-044.</w:t>
      </w:r>
    </w:p>
    <w:p>
      <w:pPr>
        <w:pStyle w:val="standard"/>
        <w:numPr>
          <w:ilvl w:val="0"/>
          <w:numId w:val="4"/>
        </w:numPr>
        <w:tabs>
          <w:tab w:val="clear" w:pos="720"/>
          <w:tab w:val="left" w:pos="810" w:leader="none"/>
        </w:tabs>
        <w:ind w:firstLine="360" w:start="0" w:end="0"/>
        <w:rPr>
          <w:rFonts w:ascii="Times New Roman" w:hAnsi="Times New Roman" w:cs="Times New Roman"/>
          <w:b/>
          <w:sz w:val="24"/>
        </w:rPr>
      </w:pPr>
      <w:r>
        <w:rPr>
          <w:rFonts w:cs="Times New Roman" w:ascii="Times New Roman" w:hAnsi="Times New Roman"/>
        </w:rPr>
        <w:t>Once parties' comments have been received and reviewed, the assigned ALJ will prepare, and circulate for comment, a draft decision, with opportunity for comment by parties of record.  The schedule for comments on the draft decision will be established when that draft decision is released.</w:t>
      </w:r>
    </w:p>
    <w:p>
      <w:pPr>
        <w:pStyle w:val="standard"/>
        <w:rPr>
          <w:rFonts w:ascii="Times New Roman" w:hAnsi="Times New Roman" w:cs="Times New Roman"/>
        </w:rPr>
      </w:pPr>
      <w:r>
        <w:rPr>
          <w:rFonts w:cs="Times New Roman" w:ascii="Times New Roman" w:hAnsi="Times New Roman"/>
        </w:rPr>
        <w:t>Dated July 24, 2001, in San Francisco, California.</w:t>
      </w:r>
    </w:p>
    <w:p>
      <w:pPr>
        <w:pStyle w:val="standard"/>
        <w:rPr>
          <w:rFonts w:ascii="Times New Roman" w:hAnsi="Times New Roman" w:cs="Times New Roman"/>
        </w:rPr>
      </w:pPr>
      <w:r>
        <w:rPr>
          <w:rFonts w:cs="Times New Roman" w:ascii="Times New Roman" w:hAnsi="Times New Roman"/>
        </w:rPr>
      </w:r>
    </w:p>
    <w:p>
      <w:pPr>
        <w:pStyle w:val="standard"/>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noteText"/>
              <w:rPr/>
            </w:pPr>
            <w:r>
              <w:rPr/>
              <w:t xml:space="preserve">       </w:t>
            </w:r>
            <w:r>
              <w:rPr/>
              <w:t>/s/         LORETTA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sz w:val="24"/>
              </w:rPr>
            </w:pPr>
            <w:r>
              <w:rPr>
                <w:sz w:val="24"/>
              </w:rPr>
              <w:t>Loretta Lynch</w:t>
            </w:r>
          </w:p>
          <w:p>
            <w:pPr>
              <w:pStyle w:val="Normal"/>
              <w:jc w:val="center"/>
              <w:rPr>
                <w:sz w:val="24"/>
              </w:rPr>
            </w:pPr>
            <w:r>
              <w:rPr>
                <w:sz w:val="24"/>
              </w:rPr>
              <w:t>President</w:t>
            </w:r>
          </w:p>
        </w:tc>
      </w:tr>
    </w:tbl>
    <w:p>
      <w:pPr>
        <w:pStyle w:val="Footer"/>
        <w:rPr/>
      </w:pPr>
      <w:r>
        <w:rPr/>
      </w:r>
    </w:p>
    <w:p>
      <w:pPr>
        <w:pStyle w:val="Footer"/>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t xml:space="preserve">         </w:t>
            </w:r>
            <w:r>
              <w:rPr/>
              <w:t>/s/      GEOFFREY F. BROWN</w:t>
            </w:r>
          </w:p>
        </w:tc>
      </w:tr>
      <w:tr>
        <w:trPr/>
        <w:tc>
          <w:tcPr>
            <w:tcW w:w="3060" w:type="dxa"/>
            <w:tcBorders/>
          </w:tcPr>
          <w:p>
            <w:pPr>
              <w:pStyle w:val="Normal"/>
              <w:snapToGrid w:val="false"/>
              <w:jc w:val="center"/>
              <w:rPr>
                <w:sz w:val="24"/>
              </w:rPr>
            </w:pPr>
            <w:r>
              <w:rPr>
                <w:sz w:val="24"/>
              </w:rPr>
            </w:r>
          </w:p>
        </w:tc>
        <w:tc>
          <w:tcPr>
            <w:tcW w:w="990" w:type="dxa"/>
            <w:tcBorders/>
          </w:tcPr>
          <w:p>
            <w:pPr>
              <w:pStyle w:val="Normal"/>
              <w:snapToGrid w:val="false"/>
              <w:rPr>
                <w:sz w:val="24"/>
              </w:rPr>
            </w:pPr>
            <w:r>
              <w:rPr>
                <w:sz w:val="24"/>
              </w:rPr>
            </w:r>
          </w:p>
        </w:tc>
        <w:tc>
          <w:tcPr>
            <w:tcW w:w="3960" w:type="dxa"/>
            <w:tcBorders/>
          </w:tcPr>
          <w:p>
            <w:pPr>
              <w:pStyle w:val="Normal"/>
              <w:jc w:val="center"/>
              <w:rPr>
                <w:sz w:val="24"/>
              </w:rPr>
            </w:pPr>
            <w:r>
              <w:rPr>
                <w:sz w:val="24"/>
              </w:rPr>
              <w:t>Geoffrey F. Brown</w:t>
            </w:r>
          </w:p>
          <w:p>
            <w:pPr>
              <w:pStyle w:val="Normal"/>
              <w:jc w:val="center"/>
              <w:rPr>
                <w:sz w:val="24"/>
              </w:rPr>
            </w:pPr>
            <w:r>
              <w:rPr>
                <w:sz w:val="24"/>
              </w:rPr>
              <w:t>Assigned Commissioner</w:t>
            </w:r>
          </w:p>
        </w:tc>
      </w:tr>
    </w:tbl>
    <w:p>
      <w:pPr>
        <w:pStyle w:val="Footer"/>
        <w:rPr>
          <w:sz w:val="24"/>
        </w:rPr>
      </w:pPr>
      <w:r>
        <w:rPr>
          <w:sz w:val="24"/>
        </w:rPr>
      </w:r>
    </w:p>
    <w:p>
      <w:pPr>
        <w:sectPr>
          <w:headerReference w:type="default" r:id="rId2"/>
          <w:footnotePr>
            <w:numFmt w:val="decimal"/>
          </w:footnotePr>
          <w:type w:val="nextPage"/>
          <w:pgSz w:w="12240" w:h="15840"/>
          <w:pgMar w:left="1584" w:right="1584" w:gutter="0" w:header="720" w:top="990" w:footer="0" w:bottom="1152"/>
          <w:pgNumType w:start="1" w:fmt="decimal"/>
          <w:formProt w:val="false"/>
          <w:textDirection w:val="lrTb"/>
          <w:docGrid w:type="default" w:linePitch="360" w:charSpace="0"/>
        </w:sectPr>
        <w:pStyle w:val="standard"/>
        <w:spacing w:lineRule="auto" w:line="240"/>
        <w:rPr/>
      </w:pPr>
      <w:r>
        <w:rPr/>
        <w:tab/>
        <w:tab/>
        <w:tab/>
        <w:tab/>
        <w:tab/>
        <w:tab/>
      </w:r>
    </w:p>
    <w:p>
      <w:pPr>
        <w:pStyle w:val="standard"/>
        <w:spacing w:lineRule="auto" w:line="240"/>
        <w:ind w:start="2160" w:end="0"/>
        <w:rPr>
          <w:b/>
        </w:rPr>
      </w:pPr>
      <w:r>
        <w:rPr>
          <w:rFonts w:eastAsia="Palatino"/>
          <w:b/>
        </w:rPr>
        <w:t xml:space="preserve">            </w:t>
      </w:r>
      <w:r>
        <w:rPr>
          <w:b/>
        </w:rPr>
        <w:t>APPENDIX A</w:t>
      </w:r>
    </w:p>
    <w:p>
      <w:pPr>
        <w:pStyle w:val="standard"/>
        <w:spacing w:lineRule="auto" w:line="240"/>
        <w:ind w:start="2160" w:end="0"/>
        <w:rPr>
          <w:b/>
        </w:rPr>
      </w:pPr>
      <w:r>
        <w:rPr>
          <w:b/>
        </w:rPr>
      </w:r>
    </w:p>
    <w:p>
      <w:pPr>
        <w:pStyle w:val="standard"/>
        <w:spacing w:lineRule="auto" w:line="240"/>
        <w:rPr>
          <w:b/>
          <w:u w:val="single"/>
        </w:rPr>
      </w:pPr>
      <w:r>
        <w:rPr>
          <w:b/>
          <w:u w:val="single"/>
        </w:rPr>
        <w:t>July 23, 2001  DWR submittal to Commissioner Brown</w:t>
      </w:r>
    </w:p>
    <w:p>
      <w:pPr>
        <w:pStyle w:val="standard"/>
        <w:spacing w:lineRule="auto" w:line="240"/>
        <w:rPr>
          <w:b/>
          <w:u w:val="single"/>
        </w:rPr>
      </w:pPr>
      <w:r>
        <w:rPr>
          <w:b/>
          <w:u w:val="single"/>
        </w:rPr>
      </w:r>
    </w:p>
    <w:p>
      <w:pPr>
        <w:pStyle w:val="Normal"/>
        <w:tabs>
          <w:tab w:val="clear" w:pos="720"/>
          <w:tab w:val="right" w:pos="10800" w:leader="none"/>
        </w:tabs>
        <w:rPr>
          <w:b/>
          <w:sz w:val="16"/>
        </w:rPr>
      </w:pPr>
      <w:r>
        <w:rPr>
          <w:b/>
          <w:sz w:val="16"/>
        </w:rPr>
        <w:t>State of California                                                                                                                                                The Resources Agency</w:t>
      </w:r>
    </w:p>
    <w:p>
      <w:pPr>
        <w:pStyle w:val="Normal"/>
        <w:tabs>
          <w:tab w:val="clear" w:pos="720"/>
          <w:tab w:val="right" w:pos="11070" w:leader="none"/>
        </w:tabs>
        <w:rPr>
          <w:b/>
          <w:sz w:val="16"/>
        </w:rPr>
      </w:pPr>
      <w:r>
        <w:rPr>
          <w:b/>
          <w:sz w:val="16"/>
        </w:rPr>
      </w:r>
    </w:p>
    <w:p>
      <w:pPr>
        <w:pStyle w:val="Heading2"/>
        <w:ind w:hanging="0" w:start="0"/>
        <w:rPr/>
      </w:pPr>
      <w:r>
        <w:rPr/>
        <w:t>M e m o r a n d u m</w:t>
        <w:tab/>
      </w:r>
    </w:p>
    <w:p>
      <w:pPr>
        <w:pStyle w:val="Normal"/>
        <w:tabs>
          <w:tab w:val="clear" w:pos="720"/>
          <w:tab w:val="left" w:pos="900" w:leader="none"/>
          <w:tab w:val="left" w:pos="1260" w:leader="none"/>
          <w:tab w:val="right" w:pos="11070" w:leader="none"/>
        </w:tabs>
        <w:rPr>
          <w:sz w:val="18"/>
        </w:rPr>
      </w:pPr>
      <w:r>
        <w:rPr>
          <w:sz w:val="18"/>
        </w:rPr>
      </w:r>
    </w:p>
    <w:p>
      <w:pPr>
        <w:pStyle w:val="Normal"/>
        <w:tabs>
          <w:tab w:val="clear" w:pos="720"/>
          <w:tab w:val="left" w:pos="900" w:leader="none"/>
          <w:tab w:val="left" w:pos="1260" w:leader="none"/>
          <w:tab w:val="right" w:pos="11070" w:leader="none"/>
        </w:tabs>
        <w:rPr/>
      </w:pPr>
      <w:r>
        <w:rPr>
          <w:sz w:val="18"/>
        </w:rPr>
        <w:t>Date</w:t>
        <w:tab/>
        <w:t>:</w:t>
      </w:r>
      <w:r>
        <w:rPr/>
        <w:tab/>
        <w:t>July 23, 2001</w:t>
      </w:r>
    </w:p>
    <w:p>
      <w:pPr>
        <w:pStyle w:val="Normal"/>
        <w:tabs>
          <w:tab w:val="clear" w:pos="720"/>
          <w:tab w:val="left" w:pos="900" w:leader="none"/>
          <w:tab w:val="left" w:pos="1260" w:leader="none"/>
          <w:tab w:val="right" w:pos="11070" w:leader="none"/>
        </w:tabs>
        <w:rPr/>
      </w:pPr>
      <w:r>
        <w:rPr/>
      </w:r>
    </w:p>
    <w:p>
      <w:pPr>
        <w:pStyle w:val="Normal"/>
        <w:tabs>
          <w:tab w:val="clear" w:pos="720"/>
          <w:tab w:val="left" w:pos="1260" w:leader="none"/>
        </w:tabs>
        <w:rPr/>
      </w:pPr>
      <w:r>
        <w:rPr>
          <w:sz w:val="18"/>
        </w:rPr>
        <w:t>To:</w:t>
        <w:tab/>
      </w:r>
      <w:r>
        <w:rPr/>
        <w:t>The Honorable Geoffrey Brown, Commissioner</w:t>
      </w:r>
    </w:p>
    <w:p>
      <w:pPr>
        <w:pStyle w:val="Normal"/>
        <w:ind w:firstLine="540" w:start="720" w:end="0"/>
        <w:rPr/>
      </w:pPr>
      <w:r>
        <w:rPr/>
        <w:t>California Public Utilities Commission</w:t>
      </w:r>
    </w:p>
    <w:p>
      <w:pPr>
        <w:pStyle w:val="Normal"/>
        <w:ind w:firstLine="540" w:start="720" w:end="0"/>
        <w:rPr/>
      </w:pPr>
      <w:r>
        <w:rPr/>
        <w:t>505 Van Ness Avenue</w:t>
      </w:r>
    </w:p>
    <w:p>
      <w:pPr>
        <w:pStyle w:val="Header"/>
        <w:tabs>
          <w:tab w:val="clear" w:pos="4320"/>
          <w:tab w:val="clear" w:pos="8640"/>
          <w:tab w:val="left" w:pos="900" w:leader="none"/>
          <w:tab w:val="left" w:pos="1260" w:leader="none"/>
          <w:tab w:val="right" w:pos="11070" w:leader="none"/>
        </w:tabs>
        <w:rPr/>
      </w:pPr>
      <w:r>
        <w:rPr/>
        <w:tab/>
        <w:tab/>
        <w:t>San Francisco, CA 94102</w:t>
      </w:r>
    </w:p>
    <w:p>
      <w:pPr>
        <w:pStyle w:val="Header"/>
        <w:tabs>
          <w:tab w:val="clear" w:pos="4320"/>
          <w:tab w:val="clear" w:pos="8640"/>
          <w:tab w:val="left" w:pos="900" w:leader="none"/>
          <w:tab w:val="left" w:pos="1260" w:leader="none"/>
          <w:tab w:val="right" w:pos="11070" w:leader="none"/>
        </w:tabs>
        <w:rPr/>
      </w:pPr>
      <w:r>
        <w:rPr/>
        <w:tab/>
        <w:tab/>
      </w:r>
    </w:p>
    <w:p>
      <w:pPr>
        <w:pStyle w:val="Normal"/>
        <w:tabs>
          <w:tab w:val="clear" w:pos="720"/>
          <w:tab w:val="left" w:pos="900" w:leader="none"/>
          <w:tab w:val="left" w:pos="1260" w:leader="none"/>
          <w:tab w:val="right" w:pos="11070" w:leader="none"/>
        </w:tabs>
        <w:rPr/>
      </w:pPr>
      <w:r>
        <w:rPr/>
        <w:tab/>
        <w:tab/>
        <w:t>Thomas M. Hannigan</w:t>
      </w:r>
    </w:p>
    <w:p>
      <w:pPr>
        <w:pStyle w:val="Normal"/>
        <w:tabs>
          <w:tab w:val="clear" w:pos="720"/>
          <w:tab w:val="left" w:pos="900" w:leader="none"/>
          <w:tab w:val="left" w:pos="1260" w:leader="none"/>
          <w:tab w:val="right" w:pos="11070" w:leader="none"/>
        </w:tabs>
        <w:rPr>
          <w:sz w:val="18"/>
        </w:rPr>
      </w:pPr>
      <w:r>
        <w:rPr>
          <w:sz w:val="18"/>
        </w:rPr>
        <w:t>From</w:t>
        <w:tab/>
        <w:t>:</w:t>
        <w:tab/>
      </w:r>
      <w:r>
        <w:rPr>
          <w:b/>
          <w:sz w:val="18"/>
        </w:rPr>
        <w:t>Department of Water Resources</w:t>
      </w:r>
    </w:p>
    <w:p>
      <w:pPr>
        <w:pStyle w:val="Normal"/>
        <w:tabs>
          <w:tab w:val="clear" w:pos="720"/>
          <w:tab w:val="left" w:pos="900" w:leader="none"/>
          <w:tab w:val="left" w:pos="1260" w:leader="none"/>
          <w:tab w:val="right" w:pos="11070" w:leader="none"/>
        </w:tabs>
        <w:rPr>
          <w:sz w:val="18"/>
        </w:rPr>
      </w:pPr>
      <w:r>
        <w:rPr>
          <w:sz w:val="18"/>
        </w:rPr>
      </w:r>
    </w:p>
    <w:p>
      <w:pPr>
        <w:pStyle w:val="Normal"/>
        <w:tabs>
          <w:tab w:val="clear" w:pos="720"/>
          <w:tab w:val="left" w:pos="900" w:leader="none"/>
          <w:tab w:val="left" w:pos="1260" w:leader="none"/>
          <w:tab w:val="right" w:pos="11070" w:leader="none"/>
        </w:tabs>
        <w:rPr/>
      </w:pPr>
      <w:r>
        <w:rPr>
          <w:sz w:val="18"/>
        </w:rPr>
        <w:t>Subject</w:t>
        <w:tab/>
        <w:t>:</w:t>
      </w:r>
      <w:r>
        <w:rPr/>
        <w:tab/>
        <w:t>Revenue Requirements</w:t>
      </w:r>
    </w:p>
    <w:p>
      <w:pPr>
        <w:pStyle w:val="Normal"/>
        <w:tabs>
          <w:tab w:val="clear" w:pos="720"/>
          <w:tab w:val="left" w:pos="3600" w:leader="none"/>
          <w:tab w:val="right" w:pos="11070" w:leader="none"/>
        </w:tabs>
        <w:rPr/>
      </w:pPr>
      <w:r>
        <w:rPr/>
      </w:r>
    </w:p>
    <w:p>
      <w:pPr>
        <w:pStyle w:val="BodyTextIndent"/>
        <w:ind w:hanging="0" w:start="1267" w:end="0"/>
        <w:rPr/>
      </w:pPr>
      <w:r>
        <w:rPr/>
        <w:t>This letter is submitted by the Department of Water Resources in accordance with Division 27 of the California Water Code, and replaces and supercedes the Department’s letter of May 2, 2001.</w:t>
      </w:r>
    </w:p>
    <w:p>
      <w:pPr>
        <w:pStyle w:val="Normal"/>
        <w:ind w:start="720" w:end="0"/>
        <w:rPr/>
      </w:pPr>
      <w:r>
        <w:rPr/>
      </w:r>
    </w:p>
    <w:p>
      <w:pPr>
        <w:pStyle w:val="BodyTextIndent"/>
        <w:ind w:hanging="0" w:start="1260" w:end="0"/>
        <w:rPr/>
      </w:pPr>
      <w:r>
        <w:rPr/>
        <w:t>Section 80110 of the Water Code provides in part, "The Department shall be entitled to recover, as a revenue requirement, amounts and at the times necessary to enable it to comply with Section 80134, and shall advise the Commission as the Department determines to be appropriate."  Section 80110 also provides that any "just and reasonable" review of its revenue requirements shall be conducted and determined by the Department.</w:t>
      </w:r>
    </w:p>
    <w:p>
      <w:pPr>
        <w:pStyle w:val="Normal"/>
        <w:ind w:start="1260" w:end="0"/>
        <w:rPr/>
      </w:pPr>
      <w:r>
        <w:rPr/>
      </w:r>
    </w:p>
    <w:p>
      <w:pPr>
        <w:pStyle w:val="Normal"/>
        <w:ind w:hanging="7" w:start="1267" w:end="0"/>
        <w:rPr/>
      </w:pPr>
      <w:r>
        <w:rPr/>
        <w:t>Section 80134 of the Water Code provides that:</w:t>
      </w:r>
    </w:p>
    <w:p>
      <w:pPr>
        <w:pStyle w:val="Normal"/>
        <w:tabs>
          <w:tab w:val="clear" w:pos="720"/>
          <w:tab w:val="left" w:pos="1440" w:leader="none"/>
        </w:tabs>
        <w:ind w:start="1260" w:end="0"/>
        <w:rPr/>
      </w:pPr>
      <w:r>
        <w:rPr/>
      </w:r>
    </w:p>
    <w:p>
      <w:pPr>
        <w:pStyle w:val="BlockText"/>
        <w:ind w:start="1980" w:end="1080"/>
        <w:jc w:val="start"/>
        <w:rPr>
          <w:sz w:val="24"/>
        </w:rPr>
      </w:pPr>
      <w:r>
        <w:rPr>
          <w:sz w:val="24"/>
        </w:rPr>
        <w:t>"(a) 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w:t>
      </w:r>
    </w:p>
    <w:p>
      <w:pPr>
        <w:pStyle w:val="BlockText"/>
        <w:ind w:start="1260" w:end="1080"/>
        <w:jc w:val="start"/>
        <w:rPr>
          <w:sz w:val="24"/>
        </w:rPr>
      </w:pPr>
      <w:r>
        <w:rPr>
          <w:sz w:val="24"/>
        </w:rPr>
      </w:r>
    </w:p>
    <w:p>
      <w:pPr>
        <w:pStyle w:val="BlockText"/>
        <w:ind w:start="2880" w:end="1080"/>
        <w:jc w:val="start"/>
        <w:rPr>
          <w:sz w:val="24"/>
        </w:rPr>
      </w:pPr>
      <w:r>
        <w:rPr>
          <w:sz w:val="24"/>
        </w:rPr>
        <w:t xml:space="preserve">(1) The amounts necessary to pay the principal of and premium, if any, and interest on all bonds as and when the same shall become due. </w:t>
      </w:r>
    </w:p>
    <w:p>
      <w:pPr>
        <w:pStyle w:val="BlockText"/>
        <w:ind w:start="1260" w:end="1080"/>
        <w:jc w:val="start"/>
        <w:rPr>
          <w:sz w:val="24"/>
        </w:rPr>
      </w:pPr>
      <w:r>
        <w:rPr>
          <w:sz w:val="24"/>
        </w:rPr>
      </w:r>
    </w:p>
    <w:p>
      <w:pPr>
        <w:pStyle w:val="BlockText"/>
        <w:ind w:start="2880" w:end="1080"/>
        <w:jc w:val="start"/>
        <w:rPr>
          <w:sz w:val="24"/>
        </w:rPr>
      </w:pPr>
      <w:r>
        <w:rPr>
          <w:sz w:val="24"/>
        </w:rPr>
        <w:t>(2) The amounts necessary to pay for power purchased by it and to deliver it to purchasers, including the cost of electric power and transmission, scheduling, and other related expenses incurred by the department, or to make payments under any other contracts, agreements, or obligation entered into by it pursuant hereto, in the amounts and at the times the same shall become due.</w:t>
      </w:r>
    </w:p>
    <w:p>
      <w:pPr>
        <w:pStyle w:val="BlockText"/>
        <w:ind w:start="1260" w:end="1080"/>
        <w:jc w:val="start"/>
        <w:rPr>
          <w:sz w:val="24"/>
        </w:rPr>
      </w:pPr>
      <w:r>
        <w:rPr>
          <w:sz w:val="24"/>
        </w:rPr>
      </w:r>
    </w:p>
    <w:p>
      <w:pPr>
        <w:pStyle w:val="BlockText"/>
        <w:ind w:start="2880" w:end="1080"/>
        <w:jc w:val="start"/>
        <w:rPr>
          <w:sz w:val="24"/>
        </w:rPr>
      </w:pPr>
      <w:r>
        <w:rPr>
          <w:sz w:val="24"/>
        </w:rPr>
        <w:t>(3) Reserves in such amount as may be determined by the Department from time to time to be necessary or desirable.</w:t>
      </w:r>
    </w:p>
    <w:p>
      <w:pPr>
        <w:pStyle w:val="Normal"/>
        <w:ind w:start="1260" w:end="1080"/>
        <w:rPr>
          <w:sz w:val="24"/>
        </w:rPr>
      </w:pPr>
      <w:r>
        <w:rPr>
          <w:sz w:val="24"/>
        </w:rPr>
      </w:r>
    </w:p>
    <w:p>
      <w:pPr>
        <w:pStyle w:val="Normal"/>
        <w:ind w:start="2880" w:end="1080"/>
        <w:rPr>
          <w:rFonts w:ascii="Arial" w:hAnsi="Arial" w:cs="Arial"/>
          <w:sz w:val="24"/>
        </w:rPr>
      </w:pPr>
      <w:r>
        <w:rPr>
          <w:rFonts w:cs="Arial" w:ascii="Arial" w:hAnsi="Arial"/>
          <w:sz w:val="24"/>
        </w:rPr>
        <w:t>(4) The pooled money investment rate on funds advanced for electric power purchases prior to the receipt of payment for those purchases by the purchasing entity.</w:t>
      </w:r>
    </w:p>
    <w:p>
      <w:pPr>
        <w:pStyle w:val="Normal"/>
        <w:ind w:start="2880" w:end="1080"/>
        <w:rPr>
          <w:rFonts w:ascii="Arial" w:hAnsi="Arial" w:cs="Arial"/>
          <w:sz w:val="24"/>
        </w:rPr>
      </w:pPr>
      <w:r>
        <w:rPr>
          <w:rFonts w:cs="Arial" w:ascii="Arial" w:hAnsi="Arial"/>
          <w:sz w:val="24"/>
        </w:rPr>
      </w:r>
    </w:p>
    <w:p>
      <w:pPr>
        <w:pStyle w:val="Normal"/>
        <w:ind w:start="1260" w:end="1080"/>
        <w:rPr/>
      </w:pPr>
      <w:r>
        <w:rPr/>
      </w:r>
    </w:p>
    <w:p>
      <w:pPr>
        <w:pStyle w:val="BlockText"/>
        <w:ind w:start="2880" w:end="1080"/>
        <w:jc w:val="start"/>
        <w:rPr>
          <w:sz w:val="24"/>
        </w:rPr>
      </w:pPr>
      <w:r>
        <w:rPr>
          <w:sz w:val="24"/>
        </w:rPr>
        <w:t xml:space="preserve">(5) Repayment to the General Fund of appropriations made to the fund pursuant hereto or hereafter for purposes of </w:t>
      </w:r>
    </w:p>
    <w:p>
      <w:pPr>
        <w:pStyle w:val="BlockText"/>
        <w:ind w:start="2880" w:end="1080"/>
        <w:jc w:val="start"/>
        <w:rPr>
          <w:sz w:val="24"/>
        </w:rPr>
      </w:pPr>
      <w:r>
        <w:rPr>
          <w:sz w:val="24"/>
        </w:rPr>
        <w:t>this division, appropriations made to the Department of Water Resources Electric Power Fund, and General Fund moneys expended by the department pursuant to the Governor's Emergency Proclamation dated January 17, 2001.</w:t>
      </w:r>
    </w:p>
    <w:p>
      <w:pPr>
        <w:pStyle w:val="BlockText"/>
        <w:ind w:start="2880" w:end="1080"/>
        <w:jc w:val="start"/>
        <w:rPr>
          <w:sz w:val="24"/>
        </w:rPr>
      </w:pPr>
      <w:r>
        <w:rPr>
          <w:sz w:val="24"/>
        </w:rPr>
      </w:r>
    </w:p>
    <w:p>
      <w:pPr>
        <w:pStyle w:val="BlockText"/>
        <w:ind w:start="2880" w:end="1080"/>
        <w:jc w:val="start"/>
        <w:rPr>
          <w:sz w:val="24"/>
        </w:rPr>
      </w:pPr>
      <w:r>
        <w:rPr>
          <w:sz w:val="24"/>
        </w:rPr>
        <w:t>(6) The administrative costs of the Department incurred in administering this division.</w:t>
      </w:r>
    </w:p>
    <w:p>
      <w:pPr>
        <w:pStyle w:val="BlockText"/>
        <w:ind w:start="1260" w:end="1080"/>
        <w:jc w:val="start"/>
        <w:rPr>
          <w:sz w:val="24"/>
        </w:rPr>
      </w:pPr>
      <w:r>
        <w:rPr>
          <w:sz w:val="24"/>
        </w:rPr>
      </w:r>
    </w:p>
    <w:p>
      <w:pPr>
        <w:pStyle w:val="BlockText"/>
        <w:ind w:start="1980" w:end="1080"/>
        <w:jc w:val="start"/>
        <w:rPr>
          <w:sz w:val="24"/>
        </w:rPr>
      </w:pPr>
      <w:r>
        <w:rPr>
          <w:sz w:val="24"/>
        </w:rPr>
        <w:t>(b) The Department shall notify the Commission of its revenue requirement pursuant to Section 80110."</w:t>
      </w:r>
    </w:p>
    <w:p>
      <w:pPr>
        <w:pStyle w:val="Normal"/>
        <w:ind w:start="1260" w:end="0"/>
        <w:rPr>
          <w:sz w:val="24"/>
        </w:rPr>
      </w:pPr>
      <w:r>
        <w:rPr>
          <w:sz w:val="24"/>
        </w:rPr>
      </w:r>
    </w:p>
    <w:p>
      <w:pPr>
        <w:pStyle w:val="BodyTextIndent"/>
        <w:ind w:hanging="0" w:start="1260" w:end="0"/>
        <w:rPr/>
      </w:pPr>
      <w:r>
        <w:rPr/>
        <w:t xml:space="preserve">In accordance with these and other provisions of the Water Code and covenants of the Department entered into pursuant thereto, the Department has determined and by this letter communicates to the Commission its </w:t>
      </w:r>
      <w:r>
        <w:br w:type="page"/>
      </w:r>
    </w:p>
    <w:p>
      <w:pPr>
        <w:pStyle w:val="BodyTextIndent"/>
        <w:ind w:hanging="0" w:start="1260" w:end="0"/>
        <w:rPr/>
      </w:pPr>
      <w:r>
        <w:rPr/>
        <w:t xml:space="preserve">                    </w:t>
      </w:r>
      <w:r>
        <w:rPr/>
        <w:t>revenue requirements, which are attached hereto as Exhibit A.  The Department has determined that these revenue requirements are just and reasonable.</w:t>
      </w:r>
    </w:p>
    <w:p>
      <w:pPr>
        <w:pStyle w:val="Normal"/>
        <w:ind w:start="1260" w:end="0"/>
        <w:rPr/>
      </w:pPr>
      <w:r>
        <w:rPr/>
      </w:r>
    </w:p>
    <w:p>
      <w:pPr>
        <w:pStyle w:val="BodyTextIndent"/>
        <w:ind w:hanging="0" w:start="1260" w:end="0"/>
        <w:rPr/>
      </w:pPr>
      <w:r>
        <w:rPr/>
        <w:t>In developing the revenue requirements contained herein, the Department has made a variety of assumptions and projections, including assumptions and projections relating to the following matters:  the amount of power to be purchased by the Department, the cost of such power, the amount of power which will be purchased pursuant to contracts, the amount of power which will be purchased on a "spot" basis, the impact of conservation efforts, the implementation of interim and long term financings, and interest rates applicable to such financings.  Actual conditions may differ from those assumed by the Department, and any differences could have a material impact on the revenue requirements of the Department.  Accordingly, the Department reserves the right to revise these revenue requirements as it determines necessary.</w:t>
      </w:r>
    </w:p>
    <w:p>
      <w:pPr>
        <w:pStyle w:val="BodyTextIndent"/>
        <w:ind w:start="1260" w:end="0"/>
        <w:rPr/>
      </w:pPr>
      <w:r>
        <w:rPr/>
      </w:r>
    </w:p>
    <w:p>
      <w:pPr>
        <w:pStyle w:val="BodyTextIndent"/>
        <w:ind w:hanging="0" w:start="1260" w:end="0"/>
        <w:rPr/>
      </w:pPr>
      <w:r>
        <w:rPr/>
        <w:t>The Department requests that, in accordance with the provisions of Division 27 of the Water Code, the Commission establish specific charges payable to the Department for power sold by the Department to retail end use customers within the State.  Department charges should be established without regard to the levels or amounts of any particular rates or charges authorized by the Commission to be charged by any electrical corporation for power sold by such electrical corporation.</w:t>
      </w:r>
    </w:p>
    <w:p>
      <w:pPr>
        <w:pStyle w:val="BodyTextIndent"/>
        <w:ind w:hanging="0" w:start="1260" w:end="0"/>
        <w:rPr/>
      </w:pPr>
      <w:r>
        <w:rPr/>
      </w:r>
    </w:p>
    <w:p>
      <w:pPr>
        <w:pStyle w:val="Heading1"/>
        <w:spacing w:lineRule="auto" w:line="240"/>
        <w:ind w:hanging="0" w:start="1267" w:end="0"/>
        <w:rPr/>
      </w:pPr>
      <w:r>
        <w:rPr/>
        <w:t>Reasons for the Updated Revenue Requirement</w:t>
      </w:r>
    </w:p>
    <w:p>
      <w:pPr>
        <w:pStyle w:val="Normal"/>
        <w:rPr/>
      </w:pPr>
      <w:r>
        <w:rPr/>
      </w:r>
    </w:p>
    <w:p>
      <w:pPr>
        <w:pStyle w:val="Normal"/>
        <w:ind w:start="1267" w:end="0"/>
        <w:jc w:val="both"/>
        <w:rPr/>
      </w:pPr>
      <w:r>
        <w:rPr/>
        <w:t>This filing replaces and supercedes the Department’s revenue requirement filing of May 2, 2001.  The Department hereby updates its revenue requirements for the following reasons:</w:t>
      </w:r>
    </w:p>
    <w:p>
      <w:pPr>
        <w:pStyle w:val="Normal"/>
        <w:ind w:start="1267" w:end="0"/>
        <w:jc w:val="both"/>
        <w:rPr/>
      </w:pPr>
      <w:r>
        <w:rPr/>
      </w:r>
    </w:p>
    <w:p>
      <w:pPr>
        <w:pStyle w:val="Normal"/>
        <w:numPr>
          <w:ilvl w:val="0"/>
          <w:numId w:val="14"/>
        </w:numPr>
        <w:tabs>
          <w:tab w:val="clear" w:pos="720"/>
          <w:tab w:val="left" w:pos="1800" w:leader="none"/>
        </w:tabs>
        <w:ind w:hanging="360" w:start="1620" w:end="0"/>
        <w:jc w:val="both"/>
        <w:rPr/>
      </w:pPr>
      <w:r>
        <w:rPr/>
        <w:t>the projected revenue requirements now extend through December 31, 2002.</w:t>
      </w:r>
    </w:p>
    <w:p>
      <w:pPr>
        <w:pStyle w:val="Normal"/>
        <w:tabs>
          <w:tab w:val="clear" w:pos="720"/>
          <w:tab w:val="left" w:pos="1800" w:leader="none"/>
        </w:tabs>
        <w:ind w:start="1260" w:end="0"/>
        <w:jc w:val="both"/>
        <w:rPr/>
      </w:pPr>
      <w:r>
        <w:rPr/>
      </w:r>
    </w:p>
    <w:p>
      <w:pPr>
        <w:pStyle w:val="Normal"/>
        <w:numPr>
          <w:ilvl w:val="0"/>
          <w:numId w:val="14"/>
        </w:numPr>
        <w:tabs>
          <w:tab w:val="clear" w:pos="720"/>
          <w:tab w:val="left" w:pos="1800" w:leader="none"/>
        </w:tabs>
        <w:ind w:hanging="360" w:start="1620" w:end="0"/>
        <w:jc w:val="both"/>
        <w:rPr/>
      </w:pPr>
      <w:r>
        <w:rPr/>
        <w:t>the Department has updated its forecasts of the net short energy requirements;</w:t>
      </w:r>
    </w:p>
    <w:p>
      <w:pPr>
        <w:pStyle w:val="Normal"/>
        <w:tabs>
          <w:tab w:val="clear" w:pos="720"/>
          <w:tab w:val="left" w:pos="1620" w:leader="none"/>
          <w:tab w:val="left" w:pos="1800" w:leader="none"/>
        </w:tabs>
        <w:ind w:hanging="360" w:start="1260" w:end="0"/>
        <w:jc w:val="both"/>
        <w:rPr/>
      </w:pPr>
      <w:r>
        <w:rPr/>
      </w:r>
    </w:p>
    <w:p>
      <w:pPr>
        <w:pStyle w:val="Normal"/>
        <w:numPr>
          <w:ilvl w:val="0"/>
          <w:numId w:val="14"/>
        </w:numPr>
        <w:tabs>
          <w:tab w:val="clear" w:pos="720"/>
          <w:tab w:val="left" w:pos="1800" w:leader="none"/>
        </w:tabs>
        <w:ind w:hanging="540" w:start="1800" w:end="0"/>
        <w:jc w:val="both"/>
        <w:rPr/>
      </w:pPr>
      <w:r>
        <w:rPr/>
        <w:t>the Department has executed several more long-term and short-term contracts which establish more certainty for this summer’s prices;</w:t>
      </w:r>
    </w:p>
    <w:p>
      <w:pPr>
        <w:pStyle w:val="Normal"/>
        <w:tabs>
          <w:tab w:val="clear" w:pos="720"/>
          <w:tab w:val="left" w:pos="1620" w:leader="none"/>
        </w:tabs>
        <w:ind w:hanging="360" w:start="1620" w:end="0"/>
        <w:jc w:val="both"/>
        <w:rPr/>
      </w:pPr>
      <w:r>
        <w:rPr/>
      </w:r>
    </w:p>
    <w:p>
      <w:pPr>
        <w:pStyle w:val="Normal"/>
        <w:tabs>
          <w:tab w:val="clear" w:pos="720"/>
          <w:tab w:val="left" w:pos="1800" w:leader="none"/>
        </w:tabs>
        <w:ind w:hanging="1710" w:start="1710" w:end="0"/>
        <w:rPr/>
      </w:pPr>
      <w:r>
        <w:rPr/>
        <w:t xml:space="preserve">                       •        </w:t>
      </w:r>
      <w:r>
        <w:rPr/>
        <w:t>the gas price forecast used in estimating contract and spot market prices has been updated  to reflect lower prices in the natural gas market;</w:t>
      </w:r>
    </w:p>
    <w:p>
      <w:pPr>
        <w:pStyle w:val="Normal"/>
        <w:tabs>
          <w:tab w:val="clear" w:pos="720"/>
          <w:tab w:val="left" w:pos="1620" w:leader="none"/>
        </w:tabs>
        <w:ind w:hanging="360" w:start="1620" w:end="0"/>
        <w:jc w:val="both"/>
        <w:rPr/>
      </w:pPr>
      <w:r>
        <w:rPr/>
      </w:r>
    </w:p>
    <w:p>
      <w:pPr>
        <w:pStyle w:val="Normal"/>
        <w:numPr>
          <w:ilvl w:val="0"/>
          <w:numId w:val="14"/>
        </w:numPr>
        <w:tabs>
          <w:tab w:val="clear" w:pos="720"/>
          <w:tab w:val="left" w:pos="1800" w:leader="none"/>
        </w:tabs>
        <w:ind w:hanging="540" w:start="1800" w:end="0"/>
        <w:jc w:val="both"/>
        <w:rPr/>
      </w:pPr>
      <w:r>
        <w:rPr/>
        <w:t>spot market price forecasts have been lowered to reflect the impacts of the market response to the Department’s long-term contracts in reducing the price of spot market energy;</w:t>
      </w:r>
    </w:p>
    <w:p>
      <w:pPr>
        <w:pStyle w:val="Normal"/>
        <w:tabs>
          <w:tab w:val="clear" w:pos="720"/>
          <w:tab w:val="left" w:pos="1620" w:leader="none"/>
        </w:tabs>
        <w:ind w:hanging="360" w:start="1620" w:end="0"/>
        <w:jc w:val="both"/>
        <w:rPr/>
      </w:pPr>
      <w:r>
        <w:rPr/>
      </w:r>
    </w:p>
    <w:p>
      <w:pPr>
        <w:pStyle w:val="Normal"/>
        <w:numPr>
          <w:ilvl w:val="0"/>
          <w:numId w:val="14"/>
        </w:numPr>
        <w:tabs>
          <w:tab w:val="clear" w:pos="720"/>
          <w:tab w:val="left" w:pos="1800" w:leader="none"/>
        </w:tabs>
        <w:ind w:hanging="540" w:start="1800" w:end="0"/>
        <w:jc w:val="both"/>
        <w:rPr/>
      </w:pPr>
      <w:r>
        <w:rPr/>
        <w:t>the anticipated effects of the June 19, 2001 Federal Energy Regulatory Commission  order on market mitigation (floating price caps) have been incorporated into the spot market purchase projections;</w:t>
      </w:r>
    </w:p>
    <w:p>
      <w:pPr>
        <w:pStyle w:val="Normal"/>
        <w:tabs>
          <w:tab w:val="clear" w:pos="720"/>
          <w:tab w:val="left" w:pos="1800" w:leader="none"/>
        </w:tabs>
        <w:ind w:start="1260" w:end="0"/>
        <w:jc w:val="both"/>
        <w:rPr/>
      </w:pPr>
      <w:r>
        <w:rPr/>
      </w:r>
    </w:p>
    <w:p>
      <w:pPr>
        <w:pStyle w:val="Normal"/>
        <w:numPr>
          <w:ilvl w:val="0"/>
          <w:numId w:val="14"/>
        </w:numPr>
        <w:tabs>
          <w:tab w:val="clear" w:pos="720"/>
          <w:tab w:val="left" w:pos="1800" w:leader="none"/>
        </w:tabs>
        <w:ind w:hanging="360" w:start="1620" w:end="0"/>
        <w:jc w:val="both"/>
        <w:rPr/>
      </w:pPr>
      <w:r>
        <w:rPr/>
        <w:t>ancillary service cost estimates have been modified;</w:t>
      </w:r>
    </w:p>
    <w:p>
      <w:pPr>
        <w:pStyle w:val="Normal"/>
        <w:tabs>
          <w:tab w:val="clear" w:pos="720"/>
          <w:tab w:val="left" w:pos="1620" w:leader="none"/>
        </w:tabs>
        <w:ind w:hanging="360" w:start="1620" w:end="0"/>
        <w:jc w:val="both"/>
        <w:rPr/>
      </w:pPr>
      <w:r>
        <w:rPr/>
      </w:r>
    </w:p>
    <w:p>
      <w:pPr>
        <w:pStyle w:val="Normal"/>
        <w:numPr>
          <w:ilvl w:val="0"/>
          <w:numId w:val="14"/>
        </w:numPr>
        <w:tabs>
          <w:tab w:val="clear" w:pos="720"/>
          <w:tab w:val="left" w:pos="1800" w:leader="none"/>
        </w:tabs>
        <w:ind w:hanging="540" w:start="1800" w:end="0"/>
        <w:jc w:val="both"/>
        <w:rPr/>
      </w:pPr>
      <w:r>
        <w:rPr/>
        <w:t>the forecasted effects of load management and voluntary load curtailment programs have been modified and allocated between the utilities’ existing programs and those of the ISO;</w:t>
      </w:r>
    </w:p>
    <w:p>
      <w:pPr>
        <w:pStyle w:val="Normal"/>
        <w:tabs>
          <w:tab w:val="clear" w:pos="720"/>
          <w:tab w:val="left" w:pos="1620" w:leader="none"/>
          <w:tab w:val="left" w:pos="1800" w:leader="none"/>
        </w:tabs>
        <w:ind w:hanging="360" w:start="1620" w:end="0"/>
        <w:jc w:val="both"/>
        <w:rPr/>
      </w:pPr>
      <w:r>
        <w:rPr/>
      </w:r>
    </w:p>
    <w:p>
      <w:pPr>
        <w:pStyle w:val="Normal"/>
        <w:numPr>
          <w:ilvl w:val="0"/>
          <w:numId w:val="14"/>
        </w:numPr>
        <w:tabs>
          <w:tab w:val="clear" w:pos="720"/>
          <w:tab w:val="left" w:pos="1800" w:leader="none"/>
        </w:tabs>
        <w:ind w:hanging="540" w:start="1800" w:end="0"/>
        <w:jc w:val="both"/>
        <w:rPr/>
      </w:pPr>
      <w:r>
        <w:rPr/>
        <w:t>the timing of cash payments for power and revenues from ratepayers have been refined to more accurately reflect anticipated lags; and</w:t>
      </w:r>
    </w:p>
    <w:p>
      <w:pPr>
        <w:pStyle w:val="Normal"/>
        <w:tabs>
          <w:tab w:val="clear" w:pos="720"/>
          <w:tab w:val="left" w:pos="1800" w:leader="none"/>
        </w:tabs>
        <w:ind w:start="1260" w:end="0"/>
        <w:jc w:val="both"/>
        <w:rPr/>
      </w:pPr>
      <w:r>
        <w:rPr/>
      </w:r>
    </w:p>
    <w:p>
      <w:pPr>
        <w:pStyle w:val="BodyTextIndent"/>
        <w:numPr>
          <w:ilvl w:val="0"/>
          <w:numId w:val="8"/>
        </w:numPr>
        <w:tabs>
          <w:tab w:val="clear" w:pos="720"/>
        </w:tabs>
        <w:spacing w:lineRule="auto" w:line="240"/>
        <w:ind w:hanging="540" w:start="1800" w:end="0"/>
        <w:rPr>
          <w:sz w:val="22"/>
        </w:rPr>
      </w:pPr>
      <w:r>
        <w:rPr>
          <w:sz w:val="22"/>
        </w:rPr>
        <w:t xml:space="preserve">      </w:t>
      </w:r>
      <w:r>
        <w:rPr>
          <w:sz w:val="22"/>
        </w:rPr>
        <w:t>operating reserve levels of the Electric Power Fund have been modified to more directly match the potential volatility in power purchase costs, which affects the amount of bond proceeds available to be applied to pay Department’s costs.</w:t>
      </w:r>
    </w:p>
    <w:p>
      <w:pPr>
        <w:pStyle w:val="BodyTextIndent"/>
        <w:ind w:hanging="0" w:start="1267" w:end="0"/>
        <w:rPr>
          <w:sz w:val="22"/>
        </w:rPr>
      </w:pPr>
      <w:r>
        <w:rPr>
          <w:sz w:val="22"/>
        </w:rPr>
      </w:r>
    </w:p>
    <w:p>
      <w:pPr>
        <w:pStyle w:val="BodyTextIndent"/>
        <w:ind w:hanging="0" w:start="1267" w:end="0"/>
        <w:rPr>
          <w:b/>
        </w:rPr>
      </w:pPr>
      <w:r>
        <w:rPr>
          <w:b/>
        </w:rPr>
        <w:t>Method for Allocating the Department’s  Revenue Requirement</w:t>
      </w:r>
    </w:p>
    <w:p>
      <w:pPr>
        <w:pStyle w:val="BodyTextIndent"/>
        <w:ind w:hanging="0" w:start="1267" w:end="0"/>
        <w:rPr>
          <w:b/>
        </w:rPr>
      </w:pPr>
      <w:r>
        <w:rPr>
          <w:b/>
        </w:rPr>
      </w:r>
    </w:p>
    <w:p>
      <w:pPr>
        <w:pStyle w:val="BodyTextIndent2"/>
        <w:ind w:start="1267" w:end="0"/>
        <w:rPr>
          <w:rFonts w:ascii="Arial" w:hAnsi="Arial" w:cs="Arial"/>
          <w:sz w:val="24"/>
        </w:rPr>
      </w:pPr>
      <w:r>
        <w:rPr>
          <w:rFonts w:cs="Arial" w:ascii="Arial" w:hAnsi="Arial"/>
          <w:sz w:val="24"/>
        </w:rPr>
        <w:t xml:space="preserve">The Department’s revenue requirement is presented in total dollars per quarter for all of the Department’s retail customers.  The Department has also presented an allocation of those total quarterly costs among its customers within the service area of each of the electrical corporations at a common rate per MWh (or kWh) of energy supplied by the Department.   </w:t>
      </w:r>
    </w:p>
    <w:p>
      <w:pPr>
        <w:pStyle w:val="BodyTextIndent"/>
        <w:ind w:start="1267" w:end="0"/>
        <w:rPr>
          <w:rFonts w:ascii="Arial" w:hAnsi="Arial" w:cs="Arial"/>
          <w:sz w:val="24"/>
        </w:rPr>
      </w:pPr>
      <w:r>
        <w:rPr>
          <w:rFonts w:cs="Arial" w:ascii="Arial" w:hAnsi="Arial"/>
          <w:sz w:val="24"/>
        </w:rPr>
      </w:r>
    </w:p>
    <w:p>
      <w:pPr>
        <w:pStyle w:val="BodyTextIndent"/>
        <w:ind w:firstLine="2" w:start="1267" w:end="0"/>
        <w:rPr/>
      </w:pPr>
      <w:r>
        <w:rPr/>
        <w:t xml:space="preserve">If the Commission identifies a need for additional information to assist in the rate setting required by law, please notify the Department of such informational needs and the Department will endeavor to provide the necessary assistance.  Please note </w:t>
      </w:r>
    </w:p>
    <w:p>
      <w:pPr>
        <w:pStyle w:val="BodyTextIndent"/>
        <w:ind w:hanging="0" w:start="1267" w:end="0"/>
        <w:rPr/>
      </w:pPr>
      <w:r>
        <w:rPr/>
        <w:t xml:space="preserve">however, that in order to allow the Department to continue to implement the power purchase program, it is necessary that certain information remain confidential. </w:t>
      </w:r>
      <w:r>
        <w:br w:type="page"/>
      </w:r>
    </w:p>
    <w:p>
      <w:pPr>
        <w:pStyle w:val="BodyTextIndent"/>
        <w:ind w:hanging="0" w:start="1267" w:end="0"/>
        <w:rPr/>
      </w:pPr>
      <w:r>
        <w:rPr/>
      </w:r>
    </w:p>
    <w:p>
      <w:pPr>
        <w:pStyle w:val="BodyTextIndent"/>
        <w:ind w:hanging="7" w:start="1267" w:end="0"/>
        <w:rPr/>
      </w:pPr>
      <w:r>
        <w:rPr/>
        <w:t>Thank you for your assistance and attention to this important matter.  We anticipate submitting additional information and requests to the Commission relating to the Department's power purchase program and financing plans and appreciate your continuing cooperation.</w:t>
      </w:r>
    </w:p>
    <w:p>
      <w:pPr>
        <w:pStyle w:val="Normal"/>
        <w:ind w:firstLine="720" w:start="1260" w:end="0"/>
        <w:rPr/>
      </w:pPr>
      <w:r>
        <w:rPr/>
      </w:r>
    </w:p>
    <w:p>
      <w:pPr>
        <w:pStyle w:val="Normal"/>
        <w:ind w:start="1260" w:end="0"/>
        <w:rPr/>
      </w:pPr>
      <w:r>
        <w:rPr/>
      </w:r>
    </w:p>
    <w:p>
      <w:pPr>
        <w:pStyle w:val="Normal"/>
        <w:ind w:start="1260" w:end="0"/>
        <w:rPr/>
      </w:pPr>
      <w:r>
        <w:rPr/>
      </w:r>
    </w:p>
    <w:p>
      <w:pPr>
        <w:pStyle w:val="Normal"/>
        <w:ind w:start="1260" w:end="0"/>
        <w:rPr/>
      </w:pPr>
      <w:r>
        <w:rPr/>
      </w:r>
    </w:p>
    <w:p>
      <w:pPr>
        <w:pStyle w:val="Normal"/>
        <w:ind w:start="1260" w:end="0"/>
        <w:rPr/>
      </w:pPr>
      <w:r>
        <w:rPr/>
      </w:r>
    </w:p>
    <w:p>
      <w:pPr>
        <w:pStyle w:val="Normal"/>
        <w:numPr>
          <w:ilvl w:val="0"/>
          <w:numId w:val="0"/>
        </w:numPr>
        <w:ind w:start="4860" w:end="0"/>
        <w:outlineLvl w:val="0"/>
        <w:rPr/>
      </w:pPr>
      <w:r>
        <w:rPr/>
        <w:t>Thomas M. Hannigan</w:t>
      </w:r>
    </w:p>
    <w:p>
      <w:pPr>
        <w:pStyle w:val="Normal"/>
        <w:ind w:firstLine="720" w:start="4140" w:end="0"/>
        <w:rPr/>
      </w:pPr>
      <w:r>
        <w:rPr/>
        <w:t>Director</w:t>
      </w:r>
    </w:p>
    <w:p>
      <w:pPr>
        <w:pStyle w:val="Normal"/>
        <w:ind w:firstLine="720" w:start="4140" w:end="0"/>
        <w:rPr/>
      </w:pPr>
      <w:r>
        <w:rPr/>
        <w:t>(916) 653-7007</w:t>
      </w:r>
    </w:p>
    <w:p>
      <w:pPr>
        <w:pStyle w:val="Normal"/>
        <w:spacing w:lineRule="atLeast" w:line="240"/>
        <w:ind w:start="1260" w:end="0"/>
        <w:rPr/>
      </w:pPr>
      <w:r>
        <w:rPr/>
      </w:r>
    </w:p>
    <w:p>
      <w:pPr>
        <w:pStyle w:val="Normal"/>
        <w:spacing w:lineRule="atLeast" w:line="240"/>
        <w:ind w:start="1260" w:end="0"/>
        <w:rPr/>
      </w:pPr>
      <w:r>
        <w:rPr/>
        <w:t>Attachment</w:t>
      </w:r>
    </w:p>
    <w:p>
      <w:pPr>
        <w:pStyle w:val="Normal"/>
        <w:tabs>
          <w:tab w:val="clear" w:pos="720"/>
          <w:tab w:val="left" w:pos="3600" w:leader="none"/>
          <w:tab w:val="right" w:pos="11070" w:leader="none"/>
        </w:tabs>
        <w:ind w:start="1260" w:end="0"/>
        <w:rPr/>
      </w:pPr>
      <w:r>
        <w:rPr/>
      </w:r>
      <w:r>
        <w:br w:type="page"/>
      </w:r>
    </w:p>
    <w:p>
      <w:pPr>
        <w:pStyle w:val="Heading"/>
        <w:rPr/>
      </w:pPr>
      <w:r>
        <w:rPr/>
        <w:t>EXHIBIT A</w:t>
      </w:r>
    </w:p>
    <w:p>
      <w:pPr>
        <w:pStyle w:val="Normal"/>
        <w:jc w:val="center"/>
        <w:rPr>
          <w:rFonts w:ascii="Palatino" w:hAnsi="Palatino" w:cs="Palatino"/>
          <w:b/>
          <w:sz w:val="22"/>
        </w:rPr>
      </w:pPr>
      <w:r>
        <w:rPr>
          <w:rFonts w:cs="Palatino" w:ascii="Palatino" w:hAnsi="Palatino"/>
          <w:b/>
          <w:sz w:val="22"/>
        </w:rPr>
        <w:t>DEPARTMENT OF WATER RESOURCES</w:t>
      </w:r>
    </w:p>
    <w:p>
      <w:pPr>
        <w:pStyle w:val="Normal"/>
        <w:jc w:val="center"/>
        <w:rPr>
          <w:rFonts w:ascii="Palatino" w:hAnsi="Palatino" w:cs="Palatino"/>
          <w:b/>
          <w:sz w:val="22"/>
        </w:rPr>
      </w:pPr>
      <w:r>
        <w:rPr>
          <w:rFonts w:cs="Palatino" w:ascii="Palatino" w:hAnsi="Palatino"/>
          <w:b/>
          <w:sz w:val="22"/>
        </w:rPr>
        <w:t>NET SHORT ENERGY REVENUE REQUIREMENT</w:t>
      </w:r>
    </w:p>
    <w:p>
      <w:pPr>
        <w:pStyle w:val="Normal"/>
        <w:jc w:val="center"/>
        <w:rPr>
          <w:rFonts w:ascii="Palatino" w:hAnsi="Palatino" w:cs="Palatino"/>
          <w:b/>
          <w:sz w:val="22"/>
        </w:rPr>
      </w:pPr>
      <w:r>
        <w:rPr>
          <w:rFonts w:cs="Palatino" w:ascii="Palatino" w:hAnsi="Palatino"/>
          <w:b/>
          <w:sz w:val="22"/>
        </w:rPr>
      </w:r>
    </w:p>
    <w:p>
      <w:pPr>
        <w:pStyle w:val="Normal"/>
        <w:rPr>
          <w:rFonts w:ascii="Palatino" w:hAnsi="Palatino" w:cs="Palatino"/>
          <w:b/>
          <w:sz w:val="22"/>
        </w:rPr>
      </w:pPr>
      <w:r>
        <w:rPr>
          <w:rFonts w:cs="Palatino" w:ascii="Palatino" w:hAnsi="Palatino"/>
          <w:b/>
          <w:sz w:val="22"/>
        </w:rPr>
      </w:r>
    </w:p>
    <w:p>
      <w:pPr>
        <w:pStyle w:val="Normal"/>
        <w:rPr>
          <w:rFonts w:ascii="Palatino" w:hAnsi="Palatino" w:cs="Palatino"/>
          <w:b/>
          <w:sz w:val="22"/>
        </w:rPr>
      </w:pPr>
      <w:r>
        <w:rPr>
          <w:rFonts w:cs="Palatino" w:ascii="Palatino" w:hAnsi="Palatino"/>
          <w:b/>
          <w:sz w:val="22"/>
        </w:rPr>
        <w:t xml:space="preserve">The following is the Department’s revenue requirement, quarterly by customer service area, which replaces the May 2, 2001 revenue requirement submitted by the Department.  </w:t>
      </w:r>
    </w:p>
    <w:p>
      <w:pPr>
        <w:pStyle w:val="BodyTextIndent"/>
        <w:ind w:start="0" w:end="0"/>
        <w:rPr>
          <w:rFonts w:ascii="Palatino" w:hAnsi="Palatino" w:cs="Palatino"/>
          <w:b/>
          <w:sz w:val="22"/>
        </w:rPr>
      </w:pPr>
      <w:r>
        <w:rPr>
          <w:rFonts w:cs="Palatino" w:ascii="Palatino" w:hAnsi="Palatino"/>
          <w:b/>
          <w:sz w:val="22"/>
        </w:rPr>
      </w:r>
    </w:p>
    <w:p>
      <w:pPr>
        <w:pStyle w:val="BodyTextIndent"/>
        <w:spacing w:lineRule="auto" w:line="240"/>
        <w:ind w:start="0" w:end="0"/>
        <w:rPr>
          <w:rFonts w:ascii="Palatino" w:hAnsi="Palatino" w:cs="Palatino"/>
          <w:sz w:val="22"/>
        </w:rPr>
      </w:pPr>
      <w:r>
        <w:rPr>
          <w:rFonts w:cs="Palatino" w:ascii="Palatino" w:hAnsi="Palatino"/>
          <w:sz w:val="22"/>
        </w:rPr>
        <w:t>This revenue requirement is different from the May 2, 2001 revenue requirement due to the extension of the revenue requirement planning period from an end of June 30, 2002 to December 31, 2002, and for the other reasons noted in the cover letter to this filing.</w:t>
      </w:r>
    </w:p>
    <w:p>
      <w:pPr>
        <w:pStyle w:val="BodyTextIndent"/>
        <w:ind w:start="0" w:end="0"/>
        <w:rPr>
          <w:rFonts w:ascii="Palatino" w:hAnsi="Palatino" w:cs="Palatino"/>
          <w:sz w:val="22"/>
        </w:rPr>
      </w:pPr>
      <w:r>
        <w:rPr>
          <w:rFonts w:cs="Palatino" w:ascii="Palatino" w:hAnsi="Palatino"/>
          <w:sz w:val="22"/>
        </w:rPr>
      </w:r>
    </w:p>
    <w:p>
      <w:pPr>
        <w:pStyle w:val="Normal"/>
        <w:rPr>
          <w:rFonts w:ascii="NewCenturySchlbk" w:hAnsi="NewCenturySchlbk" w:cs="NewCenturySchlbk"/>
          <w:sz w:val="22"/>
        </w:rPr>
      </w:pPr>
      <w:r>
        <w:rPr>
          <w:rFonts w:cs="Palatino" w:ascii="Palatino" w:hAnsi="Palatino"/>
          <w:sz w:val="22"/>
        </w:rPr>
        <w:t>Table A below summarizes the revenue requirement for each IOU service area.</w:t>
      </w:r>
    </w:p>
    <w:p>
      <w:pPr>
        <w:pStyle w:val="BodyTextIndent"/>
        <w:ind w:start="0" w:end="0"/>
        <w:rPr>
          <w:rFonts w:ascii="Palatino" w:hAnsi="Palatino" w:cs="Palatino"/>
          <w:sz w:val="22"/>
        </w:rPr>
      </w:pPr>
      <w:r>
        <w:rPr>
          <w:rFonts w:cs="Palatino" w:ascii="Palatino" w:hAnsi="Palatino"/>
          <w:sz w:val="22"/>
        </w:rPr>
      </w:r>
    </w:p>
    <w:p>
      <w:pPr>
        <w:pStyle w:val="BodyTextIndent"/>
        <w:spacing w:lineRule="auto" w:line="240"/>
        <w:ind w:start="0" w:end="0"/>
        <w:rPr>
          <w:rFonts w:ascii="Palatino" w:hAnsi="Palatino" w:cs="Palatino"/>
          <w:sz w:val="22"/>
        </w:rPr>
      </w:pPr>
      <w:r>
        <w:rPr>
          <w:rFonts w:cs="Palatino" w:ascii="Palatino" w:hAnsi="Palatino"/>
          <w:sz w:val="22"/>
        </w:rPr>
        <w:t xml:space="preserve">Table A-1 provides the Department’s quarterly Revenue Requirement for the period January 17, 2001, when the Department began purchasing the net short energy requirements of the retail electric customers of the three investor-owned utilities, through December 31, 2002.  Table A-1 (column L) indicates that the Department seeks to collect $13.072 billion from electric customers over sales of 118,930 GWh (first column), for the period extending from January 17, 2001 through December 31, 2002.  </w:t>
      </w:r>
    </w:p>
    <w:p>
      <w:pPr>
        <w:pStyle w:val="Normal"/>
        <w:rPr>
          <w:rFonts w:ascii="Palatino" w:hAnsi="Palatino" w:cs="Palatino"/>
          <w:sz w:val="22"/>
        </w:rPr>
      </w:pPr>
      <w:r>
        <w:rPr>
          <w:rFonts w:cs="Palatino" w:ascii="Palatino" w:hAnsi="Palatino"/>
          <w:sz w:val="22"/>
        </w:rPr>
      </w:r>
    </w:p>
    <w:p>
      <w:pPr>
        <w:pStyle w:val="BodyText2"/>
        <w:rPr/>
      </w:pPr>
      <w:r>
        <w:rPr/>
        <w:t>Table A-2 provides the individual revenue recovery from each of the PG&amp;E, SCE and SDG&amp;E service areas, respectively, for the same time period. The cost of energy purchases by the Department are allocated to the customers of each of the investor owned utilities (IOUs) on a uniform cost per MWh of net short energy purchased by the Department. The proceeds of the bonds to be issued by the Department are allocated among the three IOUs’ customers.  The bond proceeds are applied in a manner to supplement revenue from the customers to the Department such that the net revenue requirement falls within the retail rate adjustments adopted by the Public Utilities Commission for PG&amp;E and SCE, and assumes a comparable rate adjustment for SDG&amp;E.</w:t>
      </w:r>
    </w:p>
    <w:p>
      <w:pPr>
        <w:pStyle w:val="Normal"/>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r>
    </w:p>
    <w:p>
      <w:pPr>
        <w:pStyle w:val="Footer"/>
        <w:tabs>
          <w:tab w:val="clear" w:pos="4320"/>
          <w:tab w:val="clear" w:pos="8640"/>
        </w:tabs>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lang w:val="en-CA"/>
        </w:rPr>
      </w:pPr>
      <w:r>
        <w:rPr>
          <w:rFonts w:cs="NewCenturySchlbk" w:ascii="NewCenturySchlbk" w:hAnsi="NewCenturySchlbk"/>
          <w:sz w:val="22"/>
          <w:lang w:val="en-CA"/>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0685" cy="13271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4" t="-15" r="-4" b="-15"/>
                    <a:stretch>
                      <a:fillRect/>
                    </a:stretch>
                  </pic:blipFill>
                  <pic:spPr bwMode="auto">
                    <a:xfrm>
                      <a:off x="0" y="0"/>
                      <a:ext cx="5480685" cy="1327150"/>
                    </a:xfrm>
                    <a:prstGeom prst="rect">
                      <a:avLst/>
                    </a:prstGeom>
                    <a:noFill/>
                  </pic:spPr>
                </pic:pic>
              </a:graphicData>
            </a:graphic>
          </wp:anchor>
        </w:drawing>
      </w:r>
    </w:p>
    <w:p>
      <w:pPr>
        <w:pStyle w:val="Normal"/>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lang w:val="en-CA"/>
        </w:rPr>
      </w:pPr>
      <w:r>
        <w:rPr>
          <w:rFonts w:cs="NewCenturySchlbk" w:ascii="NewCenturySchlbk" w:hAnsi="NewCenturySchlbk"/>
          <w:sz w:val="22"/>
          <w:lang w:val="en-CA"/>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486400" cy="191579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4" t="-11" r="-4" b="-11"/>
                    <a:stretch>
                      <a:fillRect/>
                    </a:stretch>
                  </pic:blipFill>
                  <pic:spPr bwMode="auto">
                    <a:xfrm>
                      <a:off x="0" y="0"/>
                      <a:ext cx="5486400" cy="1915795"/>
                    </a:xfrm>
                    <a:prstGeom prst="rect">
                      <a:avLst/>
                    </a:prstGeom>
                    <a:noFill/>
                  </pic:spPr>
                </pic:pic>
              </a:graphicData>
            </a:graphic>
          </wp:anchor>
        </w:drawing>
      </w:r>
    </w:p>
    <w:p>
      <w:pPr>
        <w:pStyle w:val="Normal"/>
        <w:rPr>
          <w:rFonts w:ascii="NewCenturySchlbk" w:hAnsi="NewCenturySchlbk" w:cs="NewCenturySchlbk"/>
          <w:sz w:val="22"/>
        </w:rPr>
      </w:pPr>
      <w:r>
        <w:rPr>
          <w:rFonts w:cs="NewCenturySchlbk" w:ascii="NewCenturySchlbk" w:hAnsi="NewCenturySchlbk"/>
          <w:sz w:val="22"/>
        </w:rPr>
      </w:r>
    </w:p>
    <w:p>
      <w:pPr>
        <w:pStyle w:val="BodyText"/>
        <w:rPr>
          <w:rFonts w:ascii="NewCenturySchlbk" w:hAnsi="NewCenturySchlbk" w:cs="NewCenturySchlbk"/>
          <w:color w:val="FF0000"/>
          <w:sz w:val="22"/>
        </w:rPr>
      </w:pPr>
      <w:r>
        <w:rPr>
          <w:rFonts w:cs="NewCenturySchlbk" w:ascii="NewCenturySchlbk" w:hAnsi="NewCenturySchlbk"/>
          <w:color w:val="FF0000"/>
          <w:sz w:val="22"/>
        </w:rPr>
      </w:r>
    </w:p>
    <w:p>
      <w:pPr>
        <w:pStyle w:val="BodyText"/>
        <w:rPr>
          <w:b/>
          <w:color w:val="FF0000"/>
          <w:lang w:val="en-CA"/>
        </w:rPr>
      </w:pPr>
      <w:r>
        <w:rPr>
          <w:b/>
          <w:color w:val="FF0000"/>
          <w:lang w:val="en-CA"/>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81320" cy="181991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4" t="-11" r="-4" b="-11"/>
                    <a:stretch>
                      <a:fillRect/>
                    </a:stretch>
                  </pic:blipFill>
                  <pic:spPr bwMode="auto">
                    <a:xfrm>
                      <a:off x="0" y="0"/>
                      <a:ext cx="5481320" cy="1819910"/>
                    </a:xfrm>
                    <a:prstGeom prst="rect">
                      <a:avLst/>
                    </a:prstGeom>
                    <a:noFill/>
                  </pic:spPr>
                </pic:pic>
              </a:graphicData>
            </a:graphic>
          </wp:anchor>
        </w:drawing>
      </w:r>
    </w:p>
    <w:p>
      <w:pPr>
        <w:pStyle w:val="BodyTextIndent3"/>
        <w:ind w:start="360" w:end="0"/>
        <w:rPr>
          <w:rFonts w:ascii="Palatino" w:hAnsi="Palatino" w:cs="Palatino"/>
          <w:b/>
          <w:sz w:val="22"/>
        </w:rPr>
      </w:pPr>
      <w:r>
        <w:rPr>
          <w:rFonts w:cs="Palatino" w:ascii="Palatino" w:hAnsi="Palatino"/>
          <w:b/>
          <w:sz w:val="22"/>
        </w:rPr>
        <w:t>Breakdown of Revenue Requirement Cost Components</w:t>
      </w:r>
    </w:p>
    <w:p>
      <w:pPr>
        <w:pStyle w:val="BodyTextIndent3"/>
        <w:ind w:start="360" w:end="0"/>
        <w:rPr>
          <w:rFonts w:ascii="Palatino" w:hAnsi="Palatino" w:cs="Palatino"/>
          <w:b/>
          <w:sz w:val="22"/>
        </w:rPr>
      </w:pPr>
      <w:r>
        <w:rPr>
          <w:rFonts w:cs="Palatino" w:ascii="Palatino" w:hAnsi="Palatino"/>
          <w:b/>
          <w:sz w:val="22"/>
        </w:rPr>
      </w:r>
    </w:p>
    <w:p>
      <w:pPr>
        <w:pStyle w:val="BodyTextIndent3"/>
        <w:ind w:start="0" w:end="0"/>
        <w:rPr/>
      </w:pPr>
      <w:r>
        <w:rPr>
          <w:rFonts w:eastAsia="Palatino" w:cs="Palatino" w:ascii="Palatino" w:hAnsi="Palatino"/>
          <w:sz w:val="22"/>
        </w:rPr>
        <w:t xml:space="preserve">      </w:t>
      </w:r>
      <w:r>
        <w:rPr>
          <w:rFonts w:cs="Palatino" w:ascii="Palatino" w:hAnsi="Palatino"/>
          <w:sz w:val="22"/>
        </w:rPr>
        <w:t>The following provides a</w:t>
      </w:r>
      <w:r>
        <w:rPr>
          <w:rFonts w:cs="Palatino" w:ascii="Palatino" w:hAnsi="Palatino"/>
          <w:b/>
          <w:sz w:val="22"/>
        </w:rPr>
        <w:t xml:space="preserve"> </w:t>
      </w:r>
      <w:r>
        <w:rPr>
          <w:rFonts w:cs="Palatino" w:ascii="Palatino" w:hAnsi="Palatino"/>
          <w:sz w:val="22"/>
        </w:rPr>
        <w:t>quarterly breakdown of certain components of the current DWR Revenue Requirement, by service area, generally broken down by each of the six specified categories in Water Code Section 80134, together with certain additional detail.  These 6 categories, in the order set forth in the statute, are the following:</w:t>
      </w:r>
    </w:p>
    <w:p>
      <w:pPr>
        <w:pStyle w:val="Normal"/>
        <w:rPr>
          <w:rFonts w:ascii="Palatino" w:hAnsi="Palatino" w:cs="Palatino"/>
          <w:sz w:val="22"/>
        </w:rPr>
      </w:pPr>
      <w:r>
        <w:rPr>
          <w:rFonts w:cs="Palatino" w:ascii="Palatino" w:hAnsi="Palatino"/>
          <w:sz w:val="22"/>
        </w:rPr>
      </w:r>
    </w:p>
    <w:p>
      <w:pPr>
        <w:pStyle w:val="Normal"/>
        <w:numPr>
          <w:ilvl w:val="0"/>
          <w:numId w:val="9"/>
        </w:numPr>
        <w:rPr>
          <w:rFonts w:ascii="Palatino" w:hAnsi="Palatino" w:cs="Palatino"/>
          <w:sz w:val="22"/>
        </w:rPr>
      </w:pPr>
      <w:r>
        <w:rPr>
          <w:rFonts w:cs="Palatino" w:ascii="Palatino" w:hAnsi="Palatino"/>
          <w:sz w:val="22"/>
        </w:rPr>
        <w:t>Bond related costs, including principal and interest amounts</w:t>
      </w:r>
    </w:p>
    <w:p>
      <w:pPr>
        <w:pStyle w:val="Normal"/>
        <w:numPr>
          <w:ilvl w:val="0"/>
          <w:numId w:val="9"/>
        </w:numPr>
        <w:rPr>
          <w:rFonts w:ascii="Palatino" w:hAnsi="Palatino" w:cs="Palatino"/>
          <w:sz w:val="22"/>
        </w:rPr>
      </w:pPr>
      <w:r>
        <w:rPr>
          <w:rFonts w:cs="Palatino" w:ascii="Palatino" w:hAnsi="Palatino"/>
          <w:sz w:val="22"/>
        </w:rPr>
        <w:t>Operating expenses, including power purchase, fuel, transmission, scheduling and demand side management, but not including administrative costs</w:t>
      </w:r>
    </w:p>
    <w:p>
      <w:pPr>
        <w:pStyle w:val="Normal"/>
        <w:numPr>
          <w:ilvl w:val="0"/>
          <w:numId w:val="9"/>
        </w:numPr>
        <w:rPr>
          <w:rFonts w:ascii="Palatino" w:hAnsi="Palatino" w:cs="Palatino"/>
          <w:sz w:val="22"/>
        </w:rPr>
      </w:pPr>
      <w:r>
        <w:rPr>
          <w:rFonts w:cs="Palatino" w:ascii="Palatino" w:hAnsi="Palatino"/>
          <w:sz w:val="22"/>
        </w:rPr>
        <w:t>Reserves</w:t>
      </w:r>
    </w:p>
    <w:p>
      <w:pPr>
        <w:pStyle w:val="Normal"/>
        <w:numPr>
          <w:ilvl w:val="0"/>
          <w:numId w:val="9"/>
        </w:numPr>
        <w:rPr>
          <w:rFonts w:ascii="Palatino" w:hAnsi="Palatino" w:cs="Palatino"/>
          <w:b/>
          <w:sz w:val="22"/>
        </w:rPr>
      </w:pPr>
      <w:r>
        <w:rPr>
          <w:rFonts w:cs="Palatino" w:ascii="Palatino" w:hAnsi="Palatino"/>
          <w:sz w:val="22"/>
        </w:rPr>
        <w:t>Pooled Money Investment Rate on funds advanced</w:t>
      </w:r>
    </w:p>
    <w:p>
      <w:pPr>
        <w:pStyle w:val="Normal"/>
        <w:numPr>
          <w:ilvl w:val="0"/>
          <w:numId w:val="9"/>
        </w:numPr>
        <w:rPr>
          <w:rFonts w:ascii="Palatino" w:hAnsi="Palatino" w:cs="Palatino"/>
          <w:sz w:val="22"/>
        </w:rPr>
      </w:pPr>
      <w:r>
        <w:rPr>
          <w:rFonts w:cs="Palatino" w:ascii="Palatino" w:hAnsi="Palatino"/>
          <w:sz w:val="22"/>
        </w:rPr>
        <w:t xml:space="preserve">Repayment of the General Fund </w:t>
      </w:r>
    </w:p>
    <w:p>
      <w:pPr>
        <w:pStyle w:val="Normal"/>
        <w:numPr>
          <w:ilvl w:val="0"/>
          <w:numId w:val="9"/>
        </w:numPr>
        <w:rPr>
          <w:rFonts w:ascii="Palatino" w:hAnsi="Palatino" w:cs="Palatino"/>
          <w:sz w:val="22"/>
        </w:rPr>
      </w:pPr>
      <w:r>
        <w:rPr>
          <w:rFonts w:cs="Palatino" w:ascii="Palatino" w:hAnsi="Palatino"/>
          <w:sz w:val="22"/>
        </w:rPr>
        <w:t>Administrative costs</w:t>
      </w:r>
    </w:p>
    <w:p>
      <w:pPr>
        <w:pStyle w:val="Normal"/>
        <w:rPr>
          <w:rFonts w:ascii="Palatino" w:hAnsi="Palatino" w:cs="Palatino"/>
          <w:sz w:val="22"/>
        </w:rPr>
      </w:pPr>
      <w:r>
        <w:rPr>
          <w:rFonts w:cs="Palatino" w:ascii="Palatino" w:hAnsi="Palatino"/>
          <w:sz w:val="22"/>
        </w:rPr>
      </w:r>
    </w:p>
    <w:p>
      <w:pPr>
        <w:pStyle w:val="BodyTextIndent"/>
        <w:ind w:start="0" w:end="0"/>
        <w:rPr>
          <w:rFonts w:ascii="Palatino" w:hAnsi="Palatino" w:cs="Palatino"/>
          <w:b/>
          <w:sz w:val="22"/>
        </w:rPr>
      </w:pPr>
      <w:r>
        <w:rPr>
          <w:rFonts w:cs="Palatino" w:ascii="Palatino" w:hAnsi="Palatino"/>
          <w:b/>
          <w:sz w:val="22"/>
        </w:rPr>
        <w:t>Bond related costs, including principal and interest amounts</w:t>
      </w:r>
    </w:p>
    <w:p>
      <w:pPr>
        <w:pStyle w:val="BodyTextIndent"/>
        <w:spacing w:lineRule="auto" w:line="240"/>
        <w:ind w:start="0" w:end="0"/>
        <w:rPr>
          <w:rFonts w:ascii="Palatino" w:hAnsi="Palatino" w:cs="Palatino"/>
          <w:sz w:val="22"/>
        </w:rPr>
      </w:pPr>
      <w:r>
        <w:rPr>
          <w:rFonts w:cs="Palatino" w:ascii="Palatino" w:hAnsi="Palatino"/>
          <w:sz w:val="22"/>
        </w:rPr>
        <w:t>The total bond issuance is projected to be $12.5 billion--$8.5 billion tax-exempt and $4.0 billion taxable. The average all-in rate on tax-exempt bonds is assumed to be 5.77 percent per annum. The average all-in rate for the taxable bonds is assumed to be 7.77 percent per annum.  The final maturity of the bonds is scheduled to be May 1, 2016.</w:t>
      </w:r>
    </w:p>
    <w:p>
      <w:pPr>
        <w:pStyle w:val="BodyTextIndent"/>
        <w:ind w:start="0" w:end="0"/>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 xml:space="preserve">The long-term bond financing is currently structured to have interest funded or “capitalized” from bond proceeds through mid-October 2002.  Total capitalized interest is projected to be $780.8 million.  Therefore, there are no financing costs from the long-term bonds in the Department’s Revenue Requirement before September 1, 2002.  Beginning on September 1, 2002, the Department will be required to set aside funds to make semiannual debt service payments.  These debt service deposits will be net of interest earnings of 5 percent per annum on the Electric Power Fund balance and the bond debt service reserve fund.  </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No bond principal amortization is scheduled until May 1, 2004.  Deposits for principal payments into the Debt Service Account begin March 1, 2003.  General Fund appropriations and the interim loan are to be repaid from bond proceeds</w:t>
      </w:r>
      <w:r>
        <w:rPr>
          <w:rFonts w:cs="Book Antiqua" w:ascii="Book Antiqua" w:hAnsi="Book Antiqua"/>
          <w:sz w:val="22"/>
        </w:rPr>
        <w:t>.</w:t>
      </w:r>
    </w:p>
    <w:p>
      <w:pPr>
        <w:pStyle w:val="Normal"/>
        <w:spacing w:lineRule="auto" w:line="360"/>
        <w:jc w:val="both"/>
        <w:rPr>
          <w:rFonts w:ascii="Book Antiqua" w:hAnsi="Book Antiqua" w:cs="Book Antiqua"/>
          <w:sz w:val="22"/>
        </w:rPr>
      </w:pPr>
      <w:r>
        <w:rPr>
          <w:rFonts w:cs="Book Antiqua" w:ascii="Book Antiqua" w:hAnsi="Book Antiqua"/>
          <w:sz w:val="22"/>
        </w:rPr>
      </w:r>
    </w:p>
    <w:p>
      <w:pPr>
        <w:pStyle w:val="Normal"/>
        <w:rPr>
          <w:rFonts w:ascii="Palatino" w:hAnsi="Palatino" w:cs="Palatino"/>
          <w:b/>
          <w:sz w:val="22"/>
        </w:rPr>
      </w:pPr>
      <w:r>
        <w:rPr>
          <w:rFonts w:cs="Palatino" w:ascii="Palatino" w:hAnsi="Palatino"/>
          <w:b/>
          <w:sz w:val="22"/>
        </w:rPr>
        <w:t>Operating expenses, including power purchase costs, fuel costs, transmission, scheduling and demand side management, and including administrative costs:</w:t>
      </w:r>
    </w:p>
    <w:p>
      <w:pPr>
        <w:pStyle w:val="Normal"/>
        <w:rPr>
          <w:rFonts w:ascii="Palatino" w:hAnsi="Palatino" w:cs="Palatino"/>
          <w:b/>
          <w:sz w:val="22"/>
        </w:rPr>
      </w:pPr>
      <w:r>
        <w:rPr>
          <w:rFonts w:cs="Palatino" w:ascii="Palatino" w:hAnsi="Palatino"/>
          <w:b/>
          <w:sz w:val="22"/>
        </w:rPr>
      </w:r>
    </w:p>
    <w:p>
      <w:pPr>
        <w:pStyle w:val="Normal"/>
        <w:rPr>
          <w:rFonts w:ascii="Palatino" w:hAnsi="Palatino" w:cs="Palatino"/>
          <w:b/>
          <w:color w:val="FF0000"/>
          <w:sz w:val="28"/>
        </w:rPr>
      </w:pPr>
      <w:r>
        <w:rPr>
          <w:rFonts w:cs="Palatino" w:ascii="Palatino" w:hAnsi="Palatino"/>
          <w:sz w:val="22"/>
        </w:rPr>
        <w:t xml:space="preserve">Certain operating expenses and administrative costs (A&amp;G) are shown in columns B through I in Table A-3 for the three IOU service areas combined, and as allocated for each of the individual service areas in Tables A-4, A-5 and A-6.  Column A in each such table provides the associated GWh of sales.   Fuel costs are included in the total energy costs through the use of a generation dispatch model used for estimating the quantity and price of energy. Gas prices assumed in the analysis are as shown in Table A-7. </w:t>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lang w:val="en-CA"/>
        </w:rPr>
      </w:pPr>
      <w:r>
        <w:rPr>
          <w:rFonts w:cs="Palatino" w:ascii="Palatino" w:hAnsi="Palatino"/>
          <w:b/>
          <w:color w:val="FF0000"/>
          <w:sz w:val="28"/>
          <w:lang w:val="en-CA"/>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5765" cy="141478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rcRect l="-4" t="-14" r="-4" b="-14"/>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lang w:val="en-CA"/>
        </w:rPr>
      </w:pPr>
      <w:r>
        <w:rPr>
          <w:rFonts w:cs="Palatino" w:ascii="Palatino" w:hAnsi="Palatino"/>
          <w:b/>
          <w:color w:val="FF0000"/>
          <w:sz w:val="28"/>
          <w:lang w:val="en-CA"/>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5765" cy="141478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7"/>
                    <a:srcRect l="-4" t="-14" r="-4" b="-14"/>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lang w:val="en-CA"/>
        </w:rPr>
      </w:pPr>
      <w:r>
        <w:rPr>
          <w:rFonts w:cs="Palatino" w:ascii="Palatino" w:hAnsi="Palatino"/>
          <w:b/>
          <w:color w:val="FF0000"/>
          <w:sz w:val="28"/>
          <w:lang w:val="en-CA"/>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5765" cy="141478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8"/>
                    <a:srcRect l="-4" t="-14" r="-4" b="-14"/>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lang w:val="en-CA"/>
        </w:rPr>
      </w:pPr>
      <w:r>
        <w:rPr>
          <w:rFonts w:cs="Palatino" w:ascii="Palatino" w:hAnsi="Palatino"/>
          <w:b/>
          <w:color w:val="FF0000"/>
          <w:sz w:val="28"/>
          <w:lang w:val="en-CA"/>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5765" cy="141478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9"/>
                    <a:srcRect l="-4" t="-14" r="-4" b="-14"/>
                    <a:stretch>
                      <a:fillRect/>
                    </a:stretch>
                  </pic:blipFill>
                  <pic:spPr bwMode="auto">
                    <a:xfrm>
                      <a:off x="0" y="0"/>
                      <a:ext cx="5485765" cy="1414780"/>
                    </a:xfrm>
                    <a:prstGeom prst="rect">
                      <a:avLst/>
                    </a:prstGeom>
                    <a:noFill/>
                  </pic:spPr>
                </pic:pic>
              </a:graphicData>
            </a:graphic>
          </wp:anchor>
        </w:drawing>
      </w:r>
    </w:p>
    <w:p>
      <w:pPr>
        <w:pStyle w:val="BodyTextIndent"/>
        <w:spacing w:lineRule="auto" w:line="240"/>
        <w:ind w:start="0" w:end="0"/>
        <w:rPr>
          <w:rFonts w:ascii="Palatino" w:hAnsi="Palatino" w:cs="Palatino"/>
          <w:sz w:val="22"/>
        </w:rPr>
      </w:pPr>
      <w:r>
        <w:drawing>
          <wp:anchor behindDoc="0" distT="0" distB="0" distL="114935" distR="114935" simplePos="0" locked="0" layoutInCell="0" allowOverlap="1" relativeHeight="2">
            <wp:simplePos x="0" y="0"/>
            <wp:positionH relativeFrom="column">
              <wp:posOffset>1371600</wp:posOffset>
            </wp:positionH>
            <wp:positionV relativeFrom="paragraph">
              <wp:posOffset>635</wp:posOffset>
            </wp:positionV>
            <wp:extent cx="2816225" cy="136017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0"/>
                    <a:srcRect l="-4" t="-8" r="-4" b="-8"/>
                    <a:stretch>
                      <a:fillRect/>
                    </a:stretch>
                  </pic:blipFill>
                  <pic:spPr bwMode="auto">
                    <a:xfrm>
                      <a:off x="0" y="0"/>
                      <a:ext cx="2816225" cy="1360170"/>
                    </a:xfrm>
                    <a:prstGeom prst="rect">
                      <a:avLst/>
                    </a:prstGeom>
                    <a:noFill/>
                  </pic:spPr>
                </pic:pic>
              </a:graphicData>
            </a:graphic>
          </wp:anchor>
        </w:drawing>
      </w:r>
      <w:r>
        <w:rPr>
          <w:rFonts w:cs="Palatino" w:ascii="Palatino" w:hAnsi="Palatino"/>
          <w:sz w:val="22"/>
        </w:rPr>
        <w:t>The Department requires each generator who is under contract to the Department to be its own scheduling coordinator at a cost to be included in the total cost of energy purchased by the Department.  The IOUs are responsible for their own scheduling functions as a cost allocated to the respective IOU’s cost of service in their own rates.</w:t>
      </w:r>
    </w:p>
    <w:p>
      <w:pPr>
        <w:pStyle w:val="BodyTextIndent"/>
        <w:ind w:start="0" w:end="0"/>
        <w:rPr>
          <w:rFonts w:ascii="Palatino" w:hAnsi="Palatino" w:cs="Palatino"/>
          <w:b/>
          <w:sz w:val="22"/>
        </w:rPr>
      </w:pPr>
      <w:r>
        <w:rPr>
          <w:rFonts w:cs="Palatino" w:ascii="Palatino" w:hAnsi="Palatino"/>
          <w:b/>
          <w:sz w:val="22"/>
        </w:rPr>
      </w:r>
    </w:p>
    <w:p>
      <w:pPr>
        <w:pStyle w:val="BodyTextIndent"/>
        <w:spacing w:lineRule="auto" w:line="240"/>
        <w:ind w:start="0" w:end="0"/>
        <w:rPr>
          <w:rFonts w:ascii="Palatino" w:hAnsi="Palatino" w:cs="Palatino"/>
          <w:sz w:val="22"/>
        </w:rPr>
      </w:pPr>
      <w:r>
        <w:rPr>
          <w:rFonts w:cs="Palatino" w:ascii="Palatino" w:hAnsi="Palatino"/>
          <w:sz w:val="22"/>
        </w:rPr>
        <w:t>The estimated kWh of savings due to demand-side management and conservation programs, per month are as shown in Exhibit B and Table Bf-1 included with this filing.  Exhibit B provides a description of the DSM/Conservation programs relied upon to produce these savings, and the estimated costs by month and their derivation are described in Exhibit B.</w:t>
      </w:r>
    </w:p>
    <w:p>
      <w:pPr>
        <w:pStyle w:val="BodyTextIndent"/>
        <w:ind w:start="0" w:end="0"/>
        <w:rPr>
          <w:rFonts w:ascii="Palatino" w:hAnsi="Palatino" w:cs="Palatino"/>
          <w:sz w:val="22"/>
        </w:rPr>
      </w:pPr>
      <w:r>
        <w:rPr>
          <w:rFonts w:cs="Palatino" w:ascii="Palatino" w:hAnsi="Palatino"/>
          <w:sz w:val="22"/>
        </w:rPr>
      </w:r>
    </w:p>
    <w:p>
      <w:pPr>
        <w:pStyle w:val="BodyTextIndent"/>
        <w:ind w:start="0" w:end="0"/>
        <w:rPr>
          <w:rFonts w:ascii="Palatino" w:hAnsi="Palatino" w:cs="Palatino"/>
          <w:b/>
          <w:sz w:val="22"/>
        </w:rPr>
      </w:pPr>
      <w:r>
        <w:rPr>
          <w:rFonts w:cs="Palatino" w:ascii="Palatino" w:hAnsi="Palatino"/>
          <w:b/>
          <w:sz w:val="22"/>
        </w:rPr>
        <w:t>Reserves</w:t>
      </w:r>
    </w:p>
    <w:p>
      <w:pPr>
        <w:pStyle w:val="BodyTextIndent"/>
        <w:spacing w:lineRule="auto" w:line="240"/>
        <w:ind w:start="0" w:end="0"/>
        <w:rPr>
          <w:rFonts w:ascii="Palatino" w:hAnsi="Palatino" w:cs="Palatino"/>
          <w:b/>
          <w:sz w:val="22"/>
        </w:rPr>
      </w:pPr>
      <w:r>
        <w:rPr>
          <w:rFonts w:cs="Palatino" w:ascii="Palatino" w:hAnsi="Palatino"/>
          <w:sz w:val="22"/>
        </w:rPr>
        <w:t>Bond proceeds are used to fund a debt service reserve fund (DSRF). The DSRF represents 50 percent of maximum annual debt service. The $707.2 million DSRF is funded with cash (rather than surety bonds).  An additional reserve fund, a rolling debt service coverage fund of $495.012  million is also funded with bond proceeds.  The DSRF and rolling coverage reserve funds are in addition to the Electric Power Fund balance noted in Table A</w:t>
        <w:noBreakHyphen/>
        <w:t>1.</w:t>
      </w:r>
    </w:p>
    <w:p>
      <w:pPr>
        <w:pStyle w:val="BodyTextIndent"/>
        <w:ind w:start="0" w:end="0"/>
        <w:rPr>
          <w:rFonts w:ascii="Palatino" w:hAnsi="Palatino" w:cs="Palatino"/>
          <w:b/>
          <w:sz w:val="22"/>
        </w:rPr>
      </w:pPr>
      <w:r>
        <w:rPr>
          <w:rFonts w:cs="Palatino" w:ascii="Palatino" w:hAnsi="Palatino"/>
          <w:b/>
          <w:sz w:val="22"/>
        </w:rPr>
      </w:r>
    </w:p>
    <w:p>
      <w:pPr>
        <w:pStyle w:val="BodyTextIndent"/>
        <w:ind w:start="0" w:end="0"/>
        <w:rPr>
          <w:rFonts w:ascii="Palatino" w:hAnsi="Palatino" w:cs="Palatino"/>
          <w:b/>
          <w:sz w:val="22"/>
        </w:rPr>
      </w:pPr>
      <w:r>
        <w:rPr>
          <w:rFonts w:cs="Palatino" w:ascii="Palatino" w:hAnsi="Palatino"/>
          <w:b/>
          <w:sz w:val="22"/>
        </w:rPr>
        <w:t>Pooled Money Investment Rate on funds advanced</w:t>
      </w:r>
    </w:p>
    <w:p>
      <w:pPr>
        <w:pStyle w:val="Normal"/>
        <w:rPr>
          <w:rFonts w:ascii="Palatino" w:hAnsi="Palatino" w:cs="Palatino"/>
          <w:sz w:val="22"/>
        </w:rPr>
      </w:pPr>
      <w:r>
        <w:rPr>
          <w:rFonts w:cs="Palatino" w:ascii="Palatino" w:hAnsi="Palatino"/>
          <w:sz w:val="22"/>
        </w:rPr>
        <w:t xml:space="preserve">Column J in Table A-1 is the total monthly financing cost. These costs include an interest charge per annum on General Fund advances that have been made to pay for net short energy costs. Interest on General Fund monies advanced to the Electric Power Fund will be charged at the quarterly average pooled money investment rate based on the average loan balance during each quarter.  The average pooled money investment rate for the first quarter of 2001 was 6.175 percent and the average rate for the second quarter was 5.329 percent. </w:t>
      </w:r>
    </w:p>
    <w:p>
      <w:pPr>
        <w:pStyle w:val="BodyTextIndent"/>
        <w:ind w:start="0" w:end="0"/>
        <w:rPr>
          <w:rFonts w:ascii="Palatino" w:hAnsi="Palatino" w:cs="Palatino"/>
          <w:b/>
          <w:sz w:val="22"/>
        </w:rPr>
      </w:pPr>
      <w:r>
        <w:rPr>
          <w:rFonts w:cs="Palatino" w:ascii="Palatino" w:hAnsi="Palatino"/>
          <w:b/>
          <w:sz w:val="22"/>
        </w:rPr>
      </w:r>
    </w:p>
    <w:p>
      <w:pPr>
        <w:pStyle w:val="BodyTextIndent"/>
        <w:ind w:start="0" w:end="0"/>
        <w:rPr>
          <w:rFonts w:ascii="Palatino" w:hAnsi="Palatino" w:cs="Palatino"/>
          <w:sz w:val="22"/>
        </w:rPr>
      </w:pPr>
      <w:r>
        <w:rPr>
          <w:rFonts w:cs="Palatino" w:ascii="Palatino" w:hAnsi="Palatino"/>
          <w:b/>
          <w:sz w:val="22"/>
        </w:rPr>
        <w:t>Administrative Costs</w:t>
      </w:r>
    </w:p>
    <w:p>
      <w:pPr>
        <w:pStyle w:val="BodyTextIndent"/>
        <w:spacing w:lineRule="auto" w:line="240"/>
        <w:ind w:start="0" w:end="0"/>
        <w:rPr>
          <w:rFonts w:ascii="Palatino" w:hAnsi="Palatino" w:cs="Palatino"/>
          <w:sz w:val="22"/>
        </w:rPr>
      </w:pPr>
      <w:r>
        <w:rPr>
          <w:rFonts w:cs="Palatino" w:ascii="Palatino" w:hAnsi="Palatino"/>
          <w:sz w:val="22"/>
        </w:rPr>
        <w:t>A&amp;G expenses for the Department on an annual basis are found in column B of Tables A-3 through A-6. The A&amp;G breakdown on an annual basis includes (costs shown are based on 2001):</w:t>
      </w:r>
    </w:p>
    <w:p>
      <w:pPr>
        <w:pStyle w:val="BodyTextIndent"/>
        <w:ind w:start="0" w:end="0"/>
        <w:rPr>
          <w:rFonts w:ascii="Palatino" w:hAnsi="Palatino" w:cs="Palatino"/>
          <w:sz w:val="22"/>
        </w:rPr>
      </w:pPr>
      <w:r>
        <w:rPr>
          <w:rFonts w:cs="Palatino" w:ascii="Palatino" w:hAnsi="Palatino"/>
          <w:sz w:val="22"/>
        </w:rPr>
      </w:r>
    </w:p>
    <w:tbl>
      <w:tblPr>
        <w:tblW w:w="4410" w:type="dxa"/>
        <w:jc w:val="start"/>
        <w:tblInd w:w="1548" w:type="dxa"/>
        <w:tblLayout w:type="fixed"/>
        <w:tblCellMar>
          <w:top w:w="0" w:type="dxa"/>
          <w:start w:w="108" w:type="dxa"/>
          <w:bottom w:w="0" w:type="dxa"/>
          <w:end w:w="108" w:type="dxa"/>
        </w:tblCellMar>
      </w:tblPr>
      <w:tblGrid>
        <w:gridCol w:w="3240"/>
        <w:gridCol w:w="1170"/>
      </w:tblGrid>
      <w:tr>
        <w:trPr/>
        <w:tc>
          <w:tcPr>
            <w:tcW w:w="3240" w:type="dxa"/>
            <w:tcBorders/>
          </w:tcPr>
          <w:p>
            <w:pPr>
              <w:pStyle w:val="Normal"/>
              <w:snapToGrid w:val="false"/>
              <w:rPr>
                <w:rFonts w:ascii="Palatino" w:hAnsi="Palatino" w:cs="Palatino"/>
                <w:sz w:val="22"/>
              </w:rPr>
            </w:pPr>
            <w:r>
              <w:rPr>
                <w:rFonts w:cs="Palatino" w:ascii="Palatino" w:hAnsi="Palatino"/>
                <w:sz w:val="22"/>
              </w:rPr>
            </w:r>
          </w:p>
        </w:tc>
        <w:tc>
          <w:tcPr>
            <w:tcW w:w="1170" w:type="dxa"/>
            <w:tcBorders/>
          </w:tcPr>
          <w:p>
            <w:pPr>
              <w:pStyle w:val="Normal"/>
              <w:jc w:val="end"/>
              <w:rPr>
                <w:rFonts w:ascii="Palatino" w:hAnsi="Palatino" w:cs="Palatino"/>
                <w:sz w:val="22"/>
              </w:rPr>
            </w:pPr>
            <w:r>
              <w:rPr>
                <w:rFonts w:cs="Palatino" w:ascii="Palatino" w:hAnsi="Palatino"/>
                <w:sz w:val="22"/>
                <w:u w:val="single"/>
              </w:rPr>
              <w:t>($000s)</w:t>
            </w:r>
          </w:p>
        </w:tc>
      </w:tr>
      <w:tr>
        <w:trPr/>
        <w:tc>
          <w:tcPr>
            <w:tcW w:w="3240" w:type="dxa"/>
            <w:tcBorders/>
          </w:tcPr>
          <w:p>
            <w:pPr>
              <w:pStyle w:val="Normal"/>
              <w:rPr>
                <w:rFonts w:ascii="Palatino" w:hAnsi="Palatino" w:cs="Palatino"/>
                <w:sz w:val="22"/>
              </w:rPr>
            </w:pPr>
            <w:r>
              <w:rPr>
                <w:rFonts w:cs="Palatino" w:ascii="Palatino" w:hAnsi="Palatino"/>
                <w:sz w:val="22"/>
              </w:rPr>
              <w:t>Labor Including Benefits</w:t>
            </w:r>
          </w:p>
        </w:tc>
        <w:tc>
          <w:tcPr>
            <w:tcW w:w="1170" w:type="dxa"/>
            <w:tcBorders/>
          </w:tcPr>
          <w:p>
            <w:pPr>
              <w:pStyle w:val="Normal"/>
              <w:jc w:val="end"/>
              <w:rPr>
                <w:rFonts w:ascii="Palatino" w:hAnsi="Palatino" w:cs="Palatino"/>
                <w:sz w:val="22"/>
              </w:rPr>
            </w:pPr>
            <w:r>
              <w:rPr>
                <w:rFonts w:cs="Palatino" w:ascii="Palatino" w:hAnsi="Palatino"/>
                <w:sz w:val="22"/>
              </w:rPr>
              <w:t>$11,513</w:t>
            </w:r>
          </w:p>
        </w:tc>
      </w:tr>
      <w:tr>
        <w:trPr/>
        <w:tc>
          <w:tcPr>
            <w:tcW w:w="3240" w:type="dxa"/>
            <w:tcBorders/>
          </w:tcPr>
          <w:p>
            <w:pPr>
              <w:pStyle w:val="Normal"/>
              <w:rPr>
                <w:rFonts w:ascii="Palatino" w:hAnsi="Palatino" w:cs="Palatino"/>
                <w:sz w:val="22"/>
              </w:rPr>
            </w:pPr>
            <w:r>
              <w:rPr>
                <w:rFonts w:cs="Palatino" w:ascii="Palatino" w:hAnsi="Palatino"/>
                <w:sz w:val="22"/>
              </w:rPr>
              <w:t>Capital Expenditures</w:t>
            </w:r>
          </w:p>
        </w:tc>
        <w:tc>
          <w:tcPr>
            <w:tcW w:w="1170" w:type="dxa"/>
            <w:tcBorders/>
          </w:tcPr>
          <w:p>
            <w:pPr>
              <w:pStyle w:val="Normal"/>
              <w:jc w:val="end"/>
              <w:rPr>
                <w:rFonts w:ascii="Palatino" w:hAnsi="Palatino" w:cs="Palatino"/>
                <w:sz w:val="22"/>
              </w:rPr>
            </w:pPr>
            <w:r>
              <w:rPr>
                <w:rFonts w:cs="Palatino" w:ascii="Palatino" w:hAnsi="Palatino"/>
                <w:sz w:val="22"/>
              </w:rPr>
              <w:t>$2,919</w:t>
            </w:r>
          </w:p>
        </w:tc>
      </w:tr>
      <w:tr>
        <w:trPr/>
        <w:tc>
          <w:tcPr>
            <w:tcW w:w="3240" w:type="dxa"/>
            <w:tcBorders/>
          </w:tcPr>
          <w:p>
            <w:pPr>
              <w:pStyle w:val="Normal"/>
              <w:rPr>
                <w:rFonts w:ascii="Palatino" w:hAnsi="Palatino" w:cs="Palatino"/>
                <w:sz w:val="22"/>
              </w:rPr>
            </w:pPr>
            <w:r>
              <w:rPr>
                <w:rFonts w:cs="Palatino" w:ascii="Palatino" w:hAnsi="Palatino"/>
                <w:sz w:val="22"/>
              </w:rPr>
              <w:t>Professional Service Fees</w:t>
            </w:r>
          </w:p>
        </w:tc>
        <w:tc>
          <w:tcPr>
            <w:tcW w:w="1170" w:type="dxa"/>
            <w:tcBorders/>
          </w:tcPr>
          <w:p>
            <w:pPr>
              <w:pStyle w:val="Normal"/>
              <w:jc w:val="end"/>
              <w:rPr>
                <w:rFonts w:ascii="Palatino" w:hAnsi="Palatino" w:cs="Palatino"/>
                <w:sz w:val="22"/>
              </w:rPr>
            </w:pPr>
            <w:r>
              <w:rPr>
                <w:rFonts w:cs="Palatino" w:ascii="Palatino" w:hAnsi="Palatino"/>
                <w:sz w:val="22"/>
              </w:rPr>
              <w:t>$9,905</w:t>
            </w:r>
          </w:p>
        </w:tc>
      </w:tr>
      <w:tr>
        <w:trPr/>
        <w:tc>
          <w:tcPr>
            <w:tcW w:w="3240" w:type="dxa"/>
            <w:tcBorders/>
          </w:tcPr>
          <w:p>
            <w:pPr>
              <w:pStyle w:val="Normal"/>
              <w:rPr>
                <w:rFonts w:ascii="Palatino" w:hAnsi="Palatino" w:cs="Palatino"/>
                <w:sz w:val="22"/>
              </w:rPr>
            </w:pPr>
            <w:r>
              <w:rPr>
                <w:rFonts w:cs="Palatino" w:ascii="Palatino" w:hAnsi="Palatino"/>
                <w:sz w:val="22"/>
              </w:rPr>
              <w:t>Other A&amp;G</w:t>
              <w:tab/>
            </w:r>
          </w:p>
        </w:tc>
        <w:tc>
          <w:tcPr>
            <w:tcW w:w="1170" w:type="dxa"/>
            <w:tcBorders/>
          </w:tcPr>
          <w:p>
            <w:pPr>
              <w:pStyle w:val="Normal"/>
              <w:jc w:val="end"/>
              <w:rPr>
                <w:rFonts w:ascii="Palatino" w:hAnsi="Palatino" w:cs="Palatino"/>
                <w:sz w:val="22"/>
              </w:rPr>
            </w:pPr>
            <w:r>
              <w:rPr>
                <w:rFonts w:cs="Palatino" w:ascii="Palatino" w:hAnsi="Palatino"/>
                <w:sz w:val="22"/>
                <w:u w:val="single"/>
              </w:rPr>
              <w:t>$1,246</w:t>
            </w:r>
          </w:p>
        </w:tc>
      </w:tr>
      <w:tr>
        <w:trPr/>
        <w:tc>
          <w:tcPr>
            <w:tcW w:w="3240" w:type="dxa"/>
            <w:tcBorders/>
          </w:tcPr>
          <w:p>
            <w:pPr>
              <w:pStyle w:val="Normal"/>
              <w:rPr>
                <w:rFonts w:ascii="Palatino" w:hAnsi="Palatino" w:cs="Palatino"/>
                <w:sz w:val="22"/>
              </w:rPr>
            </w:pPr>
            <w:r>
              <w:rPr>
                <w:rFonts w:cs="Palatino" w:ascii="Palatino" w:hAnsi="Palatino"/>
                <w:sz w:val="22"/>
              </w:rPr>
              <w:t>Total</w:t>
            </w:r>
          </w:p>
        </w:tc>
        <w:tc>
          <w:tcPr>
            <w:tcW w:w="1170" w:type="dxa"/>
            <w:tcBorders/>
          </w:tcPr>
          <w:p>
            <w:pPr>
              <w:pStyle w:val="Normal"/>
              <w:jc w:val="end"/>
              <w:rPr>
                <w:rFonts w:ascii="Palatino" w:hAnsi="Palatino" w:cs="Palatino"/>
                <w:sz w:val="22"/>
              </w:rPr>
            </w:pPr>
            <w:r>
              <w:rPr>
                <w:rFonts w:cs="Palatino" w:ascii="Palatino" w:hAnsi="Palatino"/>
                <w:sz w:val="22"/>
              </w:rPr>
              <w:t>$24,772</w:t>
            </w:r>
          </w:p>
        </w:tc>
      </w:tr>
    </w:tbl>
    <w:p>
      <w:pPr>
        <w:pStyle w:val="Heading3"/>
        <w:spacing w:before="0" w:after="60"/>
        <w:ind w:hanging="0" w:start="0"/>
        <w:jc w:val="center"/>
        <w:rPr>
          <w:rFonts w:ascii="Palatino" w:hAnsi="Palatino" w:cs="Palatino"/>
          <w:b/>
          <w:caps/>
          <w:sz w:val="22"/>
        </w:rPr>
      </w:pPr>
      <w:r>
        <w:rPr>
          <w:rFonts w:cs="Palatino" w:ascii="Palatino" w:hAnsi="Palatino"/>
          <w:b/>
          <w:caps/>
          <w:sz w:val="22"/>
        </w:rPr>
      </w:r>
      <w:r>
        <w:br w:type="page"/>
      </w:r>
    </w:p>
    <w:p>
      <w:pPr>
        <w:pStyle w:val="Heading3"/>
        <w:spacing w:before="0" w:after="60"/>
        <w:ind w:hanging="0" w:start="0"/>
        <w:jc w:val="center"/>
        <w:rPr>
          <w:rFonts w:ascii="Palatino" w:hAnsi="Palatino" w:cs="Palatino"/>
          <w:b/>
          <w:caps/>
          <w:sz w:val="22"/>
        </w:rPr>
      </w:pPr>
      <w:r>
        <w:rPr>
          <w:rFonts w:cs="Palatino" w:ascii="Palatino" w:hAnsi="Palatino"/>
          <w:b/>
          <w:caps/>
          <w:sz w:val="22"/>
        </w:rPr>
        <w:t>EXHIBIT B</w:t>
      </w:r>
    </w:p>
    <w:p>
      <w:pPr>
        <w:pStyle w:val="Heading3"/>
        <w:spacing w:before="0" w:after="60"/>
        <w:ind w:hanging="0" w:start="0"/>
        <w:jc w:val="center"/>
        <w:rPr>
          <w:rFonts w:ascii="Palatino" w:hAnsi="Palatino" w:cs="Palatino"/>
          <w:b/>
          <w:caps/>
          <w:sz w:val="22"/>
        </w:rPr>
      </w:pPr>
      <w:r>
        <w:rPr>
          <w:rFonts w:cs="Palatino" w:ascii="Palatino" w:hAnsi="Palatino"/>
          <w:b/>
          <w:caps/>
          <w:sz w:val="22"/>
        </w:rPr>
        <w:t>DEMAND SIDE MANAGEMENT, Conservation and Load Management (dsm, C &amp; LM)</w:t>
      </w:r>
    </w:p>
    <w:p>
      <w:pPr>
        <w:pStyle w:val="Heading3"/>
        <w:spacing w:before="0" w:after="60"/>
        <w:ind w:hanging="0" w:start="0"/>
        <w:jc w:val="center"/>
        <w:rPr>
          <w:caps/>
        </w:rPr>
      </w:pPr>
      <w:r>
        <w:rPr>
          <w:rFonts w:cs="Palatino" w:ascii="Palatino" w:hAnsi="Palatino"/>
          <w:b/>
          <w:caps/>
          <w:sz w:val="22"/>
        </w:rPr>
        <w:t>Revenue Requirements</w:t>
      </w:r>
    </w:p>
    <w:p>
      <w:pPr>
        <w:pStyle w:val="Footer"/>
        <w:tabs>
          <w:tab w:val="clear" w:pos="4320"/>
          <w:tab w:val="clear" w:pos="8640"/>
        </w:tabs>
        <w:rPr>
          <w:caps/>
        </w:rPr>
      </w:pPr>
      <w:r>
        <w:rPr>
          <w:caps/>
        </w:rPr>
      </w:r>
    </w:p>
    <w:p>
      <w:pPr>
        <w:pStyle w:val="Normal"/>
        <w:rPr>
          <w:rFonts w:ascii="Palatino" w:hAnsi="Palatino" w:cs="Palatino"/>
          <w:sz w:val="22"/>
        </w:rPr>
      </w:pPr>
      <w:r>
        <w:rPr>
          <w:rFonts w:cs="Palatino" w:ascii="Palatino" w:hAnsi="Palatino"/>
          <w:sz w:val="22"/>
        </w:rPr>
        <w:t>The Department’s conservation and load management (DSM, C &amp; LM) revenue requirements cover the following programs:</w:t>
      </w:r>
    </w:p>
    <w:p>
      <w:pPr>
        <w:pStyle w:val="Normal"/>
        <w:rPr>
          <w:rFonts w:ascii="Palatino" w:hAnsi="Palatino" w:cs="Palatino"/>
          <w:sz w:val="22"/>
        </w:rPr>
      </w:pPr>
      <w:r>
        <w:rPr>
          <w:rFonts w:cs="Palatino" w:ascii="Palatino" w:hAnsi="Palatino"/>
          <w:sz w:val="22"/>
        </w:rPr>
      </w:r>
    </w:p>
    <w:p>
      <w:pPr>
        <w:pStyle w:val="Normal"/>
        <w:numPr>
          <w:ilvl w:val="0"/>
          <w:numId w:val="12"/>
        </w:numPr>
        <w:rPr>
          <w:rFonts w:ascii="Palatino" w:hAnsi="Palatino" w:cs="Palatino"/>
          <w:sz w:val="22"/>
        </w:rPr>
      </w:pPr>
      <w:r>
        <w:rPr>
          <w:rFonts w:cs="Palatino" w:ascii="Palatino" w:hAnsi="Palatino"/>
          <w:sz w:val="22"/>
        </w:rPr>
        <w:t xml:space="preserve">20/20 Rebate Program -- established through Executive Order D-30-01. The program provides a rebate equal to 20% of the bill to customers who reduce their energy use by at least 20% relative to the same time period in 2000 (for SDG&amp;E customers, the threshold is 15% reduction, for commercial and industrial customers, the 20% reduction must be during peak period and the 20% credit only applies to peak period charges). </w:t>
      </w:r>
    </w:p>
    <w:p>
      <w:pPr>
        <w:pStyle w:val="Normal"/>
        <w:rPr>
          <w:rFonts w:ascii="Palatino" w:hAnsi="Palatino" w:cs="Palatino"/>
          <w:sz w:val="22"/>
        </w:rPr>
      </w:pPr>
      <w:r>
        <w:rPr>
          <w:rFonts w:cs="Palatino" w:ascii="Palatino" w:hAnsi="Palatino"/>
          <w:sz w:val="22"/>
        </w:rPr>
      </w:r>
    </w:p>
    <w:p>
      <w:pPr>
        <w:pStyle w:val="Normal"/>
        <w:numPr>
          <w:ilvl w:val="0"/>
          <w:numId w:val="17"/>
        </w:numPr>
        <w:rPr>
          <w:rFonts w:ascii="Palatino" w:hAnsi="Palatino" w:cs="Palatino"/>
          <w:sz w:val="22"/>
        </w:rPr>
      </w:pPr>
      <w:r>
        <w:rPr>
          <w:rFonts w:cs="Palatino" w:ascii="Palatino" w:hAnsi="Palatino"/>
          <w:sz w:val="22"/>
        </w:rPr>
        <w:t xml:space="preserve">Demand bidding -- established through Executive Order D-39-01. This program is under development. All existing participants in the Discretionary Load Control Program (ISO) and the IOU's Voluntary Demand Reduction Program are assumed to be rolled into the new Demand Bidding program. </w:t>
      </w:r>
    </w:p>
    <w:p>
      <w:pPr>
        <w:pStyle w:val="Normal"/>
        <w:rPr>
          <w:rFonts w:ascii="Palatino" w:hAnsi="Palatino" w:cs="Palatino"/>
          <w:sz w:val="22"/>
        </w:rPr>
      </w:pPr>
      <w:r>
        <w:rPr>
          <w:rFonts w:cs="Palatino" w:ascii="Palatino" w:hAnsi="Palatino"/>
          <w:sz w:val="22"/>
        </w:rPr>
      </w:r>
    </w:p>
    <w:p>
      <w:pPr>
        <w:pStyle w:val="Normal"/>
        <w:numPr>
          <w:ilvl w:val="0"/>
          <w:numId w:val="5"/>
        </w:numPr>
        <w:rPr>
          <w:rFonts w:ascii="Palatino" w:hAnsi="Palatino" w:cs="Palatino"/>
          <w:sz w:val="22"/>
        </w:rPr>
      </w:pPr>
      <w:r>
        <w:rPr>
          <w:rFonts w:cs="Palatino" w:ascii="Palatino" w:hAnsi="Palatino"/>
          <w:sz w:val="22"/>
        </w:rPr>
        <w:t>Load management programs developed by the California ISO, which the DWR is now responsible for funding. These programs include the Demand Relief Program (DRP) and the Discretionary Load Control Program (DLCP). The DLCP will be rolled to the Demand Bidding program when it is established in mid-July.</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Revenue requirements by type of program and month are summarized in Exhibit B-1.</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20/20 program revenue requirements are estimated to be $350 million. It is assumed that one-quarter of these costs will be incurred in each of the four summer months during which the program operates. The energy savings are estimated at 1896 GWh (including T&amp;D loss savings) and 1091 MW. The estimated program impacts have taken into account the potential for double counting of conservation effects from multiple programs, price response, and behavioral response due to awareness of the energy crises.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table shows total forecasted load management of 2,816 MW, with 1,816 MW in IOU programs and 1,000 MW in ISO programs (DRP, and Demand Bidding -- DB). The utility programs include: existing interruptible, Optional Binding Mandatory Curtailment, Voluntary Demand Reduction Program, air conditioning load control, agriculture pumping load control, Base Interruptible and the Scheduled Load Reduction Program. As of June 21, 2001, approximately 1406 MW were enrolled in these programs. The costs of the utility load management programs is estimated using an average cost of $550/MWh and assuming that the programs are utilized for 24 hours per month, for the four summer months. None of the costs for these programs are included in DWR's revenue requirements.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DWR is responsible for funding the ISO's Demand Relief Program (DRP), the Discretionary Load Control Program (will be rolled into the Demand Bidding program), and the Demand Bidding (DB). 1,000 MW are assumed to enroll in these programs. The Demand Relief program costs are assumed to include the following:</w:t>
      </w:r>
    </w:p>
    <w:p>
      <w:pPr>
        <w:pStyle w:val="Normal"/>
        <w:rPr>
          <w:rFonts w:ascii="Palatino" w:hAnsi="Palatino" w:cs="Palatino"/>
          <w:sz w:val="22"/>
        </w:rPr>
      </w:pPr>
      <w:r>
        <w:rPr>
          <w:rFonts w:cs="Palatino" w:ascii="Palatino" w:hAnsi="Palatino"/>
          <w:sz w:val="22"/>
        </w:rPr>
      </w:r>
    </w:p>
    <w:p>
      <w:pPr>
        <w:pStyle w:val="Normal"/>
        <w:numPr>
          <w:ilvl w:val="0"/>
          <w:numId w:val="15"/>
        </w:numPr>
        <w:rPr>
          <w:rFonts w:ascii="Palatino" w:hAnsi="Palatino" w:cs="Palatino"/>
          <w:sz w:val="22"/>
        </w:rPr>
      </w:pPr>
      <w:r>
        <w:rPr>
          <w:rFonts w:cs="Palatino" w:ascii="Palatino" w:hAnsi="Palatino"/>
          <w:sz w:val="22"/>
        </w:rPr>
        <w:t>Authorization for 500 MW</w:t>
      </w:r>
    </w:p>
    <w:p>
      <w:pPr>
        <w:pStyle w:val="Normal"/>
        <w:numPr>
          <w:ilvl w:val="0"/>
          <w:numId w:val="15"/>
        </w:numPr>
        <w:rPr>
          <w:rFonts w:ascii="Palatino" w:hAnsi="Palatino" w:cs="Palatino"/>
          <w:sz w:val="22"/>
        </w:rPr>
      </w:pPr>
      <w:r>
        <w:rPr>
          <w:rFonts w:cs="Palatino" w:ascii="Palatino" w:hAnsi="Palatino"/>
          <w:sz w:val="22"/>
        </w:rPr>
        <w:t>$20,000 per MW capacity payment for 2001, but with a contractual obligation to participate in 2002 with no additional capacity payment</w:t>
      </w:r>
    </w:p>
    <w:p>
      <w:pPr>
        <w:pStyle w:val="Normal"/>
        <w:numPr>
          <w:ilvl w:val="0"/>
          <w:numId w:val="15"/>
        </w:numPr>
        <w:rPr>
          <w:rFonts w:ascii="Palatino" w:hAnsi="Palatino" w:cs="Palatino"/>
          <w:sz w:val="22"/>
        </w:rPr>
      </w:pPr>
      <w:r>
        <w:rPr>
          <w:rFonts w:cs="Palatino" w:ascii="Palatino" w:hAnsi="Palatino"/>
          <w:sz w:val="22"/>
        </w:rPr>
        <w:t>$500 MWh for curtailed load</w:t>
      </w:r>
    </w:p>
    <w:p>
      <w:pPr>
        <w:pStyle w:val="Normal"/>
        <w:numPr>
          <w:ilvl w:val="0"/>
          <w:numId w:val="15"/>
        </w:numPr>
        <w:rPr>
          <w:rFonts w:ascii="Palatino" w:hAnsi="Palatino" w:cs="Palatino"/>
          <w:sz w:val="22"/>
        </w:rPr>
      </w:pPr>
      <w:r>
        <w:rPr>
          <w:rFonts w:cs="Palatino" w:ascii="Palatino" w:hAnsi="Palatino"/>
          <w:sz w:val="22"/>
        </w:rPr>
        <w:t xml:space="preserve">40 hours per month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Based upon these program parameters, the DRP is estimated to cost $20 million per month for the four summer months in 2001. In 2002, the program costs are $10 million per summer month. The lower costs are due the fact the entire capacity payments are being made in 2001.</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Demand Bidding (DB) program allows customers to post the amount of load that they will curtail at set prices. In estimating the revenue requirements for this program, we assumed:</w:t>
      </w:r>
    </w:p>
    <w:p>
      <w:pPr>
        <w:pStyle w:val="Normal"/>
        <w:rPr>
          <w:rFonts w:ascii="Palatino" w:hAnsi="Palatino" w:cs="Palatino"/>
          <w:sz w:val="22"/>
        </w:rPr>
      </w:pPr>
      <w:r>
        <w:rPr>
          <w:rFonts w:cs="Palatino" w:ascii="Palatino" w:hAnsi="Palatino"/>
          <w:sz w:val="22"/>
        </w:rPr>
      </w:r>
    </w:p>
    <w:p>
      <w:pPr>
        <w:pStyle w:val="Normal"/>
        <w:numPr>
          <w:ilvl w:val="0"/>
          <w:numId w:val="7"/>
        </w:numPr>
        <w:rPr>
          <w:rFonts w:ascii="Palatino" w:hAnsi="Palatino" w:cs="Palatino"/>
          <w:sz w:val="22"/>
        </w:rPr>
      </w:pPr>
      <w:r>
        <w:rPr>
          <w:rFonts w:cs="Palatino" w:ascii="Palatino" w:hAnsi="Palatino"/>
          <w:sz w:val="22"/>
        </w:rPr>
        <w:t>500 MW of capacity (as of June 21, there were 279 MW in the VDRP and 35 MW in the DLCP -- both programs will be rolled into the DB program).</w:t>
      </w:r>
    </w:p>
    <w:p>
      <w:pPr>
        <w:pStyle w:val="Normal"/>
        <w:numPr>
          <w:ilvl w:val="0"/>
          <w:numId w:val="7"/>
        </w:numPr>
        <w:rPr>
          <w:rFonts w:ascii="Palatino" w:hAnsi="Palatino" w:cs="Palatino"/>
          <w:sz w:val="22"/>
        </w:rPr>
      </w:pPr>
      <w:r>
        <w:rPr>
          <w:rFonts w:cs="Palatino" w:ascii="Palatino" w:hAnsi="Palatino"/>
          <w:sz w:val="22"/>
        </w:rPr>
        <w:t>24 hours per month for the four summer months</w:t>
      </w:r>
    </w:p>
    <w:p>
      <w:pPr>
        <w:pStyle w:val="Normal"/>
        <w:numPr>
          <w:ilvl w:val="0"/>
          <w:numId w:val="7"/>
        </w:numPr>
        <w:rPr>
          <w:rFonts w:ascii="Palatino" w:hAnsi="Palatino" w:cs="Palatino"/>
          <w:sz w:val="22"/>
        </w:rPr>
      </w:pPr>
      <w:r>
        <w:rPr>
          <w:rFonts w:cs="Palatino" w:ascii="Palatino" w:hAnsi="Palatino"/>
          <w:sz w:val="22"/>
        </w:rPr>
        <w:t>An average cost of $350/MWh</w:t>
      </w:r>
    </w:p>
    <w:p>
      <w:pPr>
        <w:pStyle w:val="Normal"/>
        <w:numPr>
          <w:ilvl w:val="0"/>
          <w:numId w:val="7"/>
        </w:numPr>
        <w:rPr>
          <w:rFonts w:ascii="Palatino" w:hAnsi="Palatino" w:cs="Palatino"/>
          <w:sz w:val="22"/>
        </w:rPr>
      </w:pPr>
      <w:r>
        <w:rPr>
          <w:rFonts w:cs="Palatino" w:ascii="Palatino" w:hAnsi="Palatino"/>
          <w:sz w:val="22"/>
        </w:rPr>
        <w:t>Program administration costs of $1.1 million per month, plus $1.2 million for initial programming and set-up were estimated based upon the costs estimates developed for the 20/20 program. These costs are incurred by the utilities and reimbursed by DWR.</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total monthly DB costs are estimated to be $5.3 million, with $4.2 million being the payments to customers. In June, 2001, another 1.2 million of program set-up costs are incurred (these are utility costs, reimbursed by DWR).</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last three lines in the table summarize the energy savings, demand impacts and revenue requirements for DWR's demand side management, conservation and load management (DSM, C &amp; LM) responsibilities. The monthly energy savings are estimated to be 498 GWh. The monthly demand savings are 2091 MW. Total DSM, CL &amp; M revenue requirements are estimated to be $452 million for 2001 and $411 million for 2002. For the period June 2001 through June 2002, the DWR DSM, C &amp; LM revenue requirement is estimated to be $555 million.</w:t>
      </w:r>
    </w:p>
    <w:p>
      <w:pPr>
        <w:pStyle w:val="Normal"/>
        <w:rPr>
          <w:rFonts w:ascii="Palatino" w:hAnsi="Palatino" w:cs="Palatino"/>
          <w:sz w:val="22"/>
          <w:lang w:val="en-CA"/>
        </w:rPr>
      </w:pPr>
      <w:r>
        <w:rPr>
          <w:rFonts w:cs="Palatino" w:ascii="Palatino" w:hAnsi="Palatino"/>
          <w:sz w:val="22"/>
          <w:lang w:val="en-CA"/>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3860" cy="7701280"/>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1"/>
                    <a:srcRect l="-4" t="-3" r="-4" b="-3"/>
                    <a:stretch>
                      <a:fillRect/>
                    </a:stretch>
                  </pic:blipFill>
                  <pic:spPr bwMode="auto">
                    <a:xfrm>
                      <a:off x="0" y="0"/>
                      <a:ext cx="5483860" cy="7701280"/>
                    </a:xfrm>
                    <a:prstGeom prst="rect">
                      <a:avLst/>
                    </a:prstGeom>
                    <a:noFill/>
                  </pic:spPr>
                </pic:pic>
              </a:graphicData>
            </a:graphic>
          </wp:anchor>
        </w:drawing>
      </w:r>
    </w:p>
    <w:p>
      <w:pPr>
        <w:pStyle w:val="Heading1"/>
        <w:ind w:hanging="0" w:start="0"/>
        <w:jc w:val="center"/>
        <w:rPr/>
      </w:pPr>
      <w:r>
        <w:rPr/>
        <w:t>EXHIBIT C</w:t>
      </w:r>
    </w:p>
    <w:p>
      <w:pPr>
        <w:pStyle w:val="Heading1"/>
        <w:ind w:hanging="0" w:start="0"/>
        <w:jc w:val="center"/>
        <w:rPr/>
      </w:pPr>
      <w:r>
        <w:rPr/>
        <w:t>BREAKDOWN OF DWR REVENUE REQUIREMENTS</w:t>
      </w:r>
    </w:p>
    <w:p>
      <w:pPr>
        <w:pStyle w:val="Heading1"/>
        <w:ind w:hanging="0" w:start="0"/>
        <w:jc w:val="center"/>
        <w:rPr/>
      </w:pPr>
      <w:r>
        <w:rPr/>
        <w:t>IN ACCORDANCE WITH THE PROPOSED RATE AGREEMENT</w:t>
      </w:r>
    </w:p>
    <w:p>
      <w:pPr>
        <w:pStyle w:val="Heading1"/>
        <w:ind w:hanging="0" w:start="0"/>
        <w:jc w:val="center"/>
        <w:rPr/>
      </w:pPr>
      <w:r>
        <w:rPr/>
        <w:t>COST CATAGORIES</w:t>
      </w:r>
    </w:p>
    <w:p>
      <w:pPr>
        <w:pStyle w:val="BodyText"/>
        <w:rPr>
          <w:rFonts w:ascii="Palatino" w:hAnsi="Palatino" w:cs="Palatino"/>
          <w:b/>
          <w:sz w:val="22"/>
        </w:rPr>
      </w:pPr>
      <w:r>
        <w:rPr>
          <w:rFonts w:cs="Palatino" w:ascii="Palatino" w:hAnsi="Palatino"/>
          <w:b/>
          <w:sz w:val="22"/>
        </w:rPr>
      </w:r>
    </w:p>
    <w:p>
      <w:pPr>
        <w:pStyle w:val="BodyText"/>
        <w:rPr>
          <w:rFonts w:ascii="Palatino" w:hAnsi="Palatino" w:cs="Palatino"/>
          <w:b/>
          <w:sz w:val="22"/>
        </w:rPr>
      </w:pPr>
      <w:r>
        <w:rPr>
          <w:rFonts w:cs="Palatino" w:ascii="Palatino" w:hAnsi="Palatino"/>
          <w:b/>
          <w:sz w:val="22"/>
        </w:rPr>
        <w:t>This exhibit describes the component costs of the Department’s revenue requirements consistent with the categories set forth in the proposed Rate Agreement between the Department and the Commission. The descriptions below make reference to the tables in Exhibits A and B as appropriate, rather than repeating those tables and data in this Exhibit C.</w:t>
      </w:r>
    </w:p>
    <w:p>
      <w:pPr>
        <w:pStyle w:val="Normal"/>
        <w:jc w:val="end"/>
        <w:rPr>
          <w:rFonts w:ascii="Palatino" w:hAnsi="Palatino" w:cs="Palatino"/>
          <w:b/>
          <w:color w:val="000000"/>
          <w:sz w:val="22"/>
        </w:rPr>
      </w:pPr>
      <w:r>
        <w:rPr>
          <w:rFonts w:cs="Palatino" w:ascii="Palatino" w:hAnsi="Palatino"/>
          <w:b/>
          <w:color w:val="000000"/>
          <w:sz w:val="22"/>
        </w:rPr>
      </w:r>
    </w:p>
    <w:p>
      <w:pPr>
        <w:pStyle w:val="Normal"/>
        <w:tabs>
          <w:tab w:val="clear" w:pos="720"/>
          <w:tab w:val="left" w:pos="360" w:leader="none"/>
        </w:tabs>
        <w:rPr>
          <w:rFonts w:ascii="Palatino" w:hAnsi="Palatino" w:cs="Palatino"/>
          <w:color w:val="000000"/>
          <w:sz w:val="22"/>
        </w:rPr>
      </w:pPr>
      <w:r>
        <w:rPr>
          <w:rFonts w:cs="Palatino" w:ascii="Palatino" w:hAnsi="Palatino"/>
          <w:color w:val="000000"/>
          <w:sz w:val="22"/>
        </w:rPr>
        <w:t>1</w:t>
      </w:r>
      <w:r>
        <w:rPr>
          <w:rFonts w:cs="Palatino" w:ascii="Palatino" w:hAnsi="Palatino"/>
          <w:b/>
          <w:color w:val="000000"/>
          <w:sz w:val="22"/>
        </w:rPr>
        <w:t>.</w:t>
        <w:tab/>
        <w:t>Cost for the purchase and delivery of power, including:</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long-term purchases</w:t>
      </w:r>
    </w:p>
    <w:p>
      <w:pPr>
        <w:pStyle w:val="BodyTextIndent"/>
        <w:spacing w:lineRule="auto" w:line="240"/>
        <w:ind w:hanging="0" w:start="540" w:end="0"/>
        <w:rPr>
          <w:rFonts w:ascii="Palatino" w:hAnsi="Palatino" w:cs="Palatino"/>
          <w:b/>
          <w:color w:val="FF0000"/>
          <w:sz w:val="22"/>
        </w:rPr>
      </w:pPr>
      <w:r>
        <w:rPr>
          <w:rFonts w:cs="Palatino" w:ascii="Palatino" w:hAnsi="Palatino"/>
          <w:sz w:val="22"/>
        </w:rPr>
        <w:t>long-term purchases are considered those which are more than a quarter in duration.  These costs are included in Column D “Contract Power” as shown in Tables A-3 through A-6 in Exhibit A.  The contracts which have been executed, or agreements in principle which were still under active negotiation as of June 15, 2001 are included in this column.</w:t>
      </w:r>
    </w:p>
    <w:p>
      <w:pPr>
        <w:pStyle w:val="Normal"/>
        <w:ind w:start="480" w:end="0"/>
        <w:rPr>
          <w:rFonts w:ascii="Palatino" w:hAnsi="Palatino" w:cs="Palatino"/>
          <w:b/>
          <w:color w:val="000000"/>
          <w:sz w:val="22"/>
        </w:rPr>
      </w:pPr>
      <w:r>
        <w:rPr>
          <w:rFonts w:cs="Palatino" w:ascii="Palatino" w:hAnsi="Palatino"/>
          <w:b/>
          <w:color w:val="000000"/>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short-term purchases</w:t>
      </w:r>
    </w:p>
    <w:p>
      <w:pPr>
        <w:pStyle w:val="BodyTextIndent"/>
        <w:spacing w:lineRule="auto" w:line="240"/>
        <w:ind w:hanging="4" w:start="540" w:end="0"/>
        <w:rPr>
          <w:rFonts w:ascii="Palatino" w:hAnsi="Palatino" w:cs="Palatino"/>
          <w:sz w:val="22"/>
        </w:rPr>
      </w:pPr>
      <w:r>
        <w:rPr>
          <w:rFonts w:cs="Palatino" w:ascii="Palatino" w:hAnsi="Palatino"/>
          <w:sz w:val="22"/>
        </w:rPr>
        <w:t>short-term purchases consist of two categories: (1) bilateral contracts with a duration of a quarter or less, but longer than day-ahead purchases, which are included through the third quarter of 2001 in Column D, “Contract Power”, for known contracts as of June 15, 2001, and (2) day ahead, hour ahead, real time, or future, yet to be completed bilateral contracts not known as of June 15, 2001.</w:t>
      </w:r>
    </w:p>
    <w:p>
      <w:pPr>
        <w:pStyle w:val="BodyTextIndent"/>
        <w:rPr>
          <w:rFonts w:ascii="Palatino" w:hAnsi="Palatino" w:cs="Palatino"/>
          <w:b/>
          <w:sz w:val="22"/>
        </w:rPr>
      </w:pPr>
      <w:r>
        <w:rPr>
          <w:rFonts w:cs="Palatino" w:ascii="Palatino" w:hAnsi="Palatino"/>
          <w:b/>
          <w:sz w:val="22"/>
        </w:rPr>
      </w:r>
    </w:p>
    <w:p>
      <w:pPr>
        <w:pStyle w:val="BodyTextIndent"/>
        <w:numPr>
          <w:ilvl w:val="0"/>
          <w:numId w:val="3"/>
        </w:numPr>
        <w:rPr>
          <w:rFonts w:ascii="Palatino" w:hAnsi="Palatino" w:cs="Palatino"/>
          <w:b/>
          <w:sz w:val="22"/>
        </w:rPr>
      </w:pPr>
      <w:r>
        <w:rPr>
          <w:rFonts w:cs="Palatino" w:ascii="Palatino" w:hAnsi="Palatino"/>
          <w:b/>
          <w:sz w:val="22"/>
        </w:rPr>
        <w:t>termination &amp; liquidated damages</w:t>
      </w:r>
    </w:p>
    <w:p>
      <w:pPr>
        <w:pStyle w:val="BodyTextIndent"/>
        <w:spacing w:lineRule="auto" w:line="240"/>
        <w:ind w:hanging="4" w:start="540" w:end="0"/>
        <w:rPr>
          <w:rFonts w:ascii="Palatino" w:hAnsi="Palatino" w:cs="Palatino"/>
          <w:sz w:val="22"/>
        </w:rPr>
      </w:pPr>
      <w:r>
        <w:rPr>
          <w:rFonts w:cs="Palatino" w:ascii="Palatino" w:hAnsi="Palatino"/>
          <w:sz w:val="22"/>
        </w:rPr>
        <w:t>termination charges are those applicable to the Department for terminating contracts prior to the end of the term of the agreement for various reasons, for which the contract provides for charges to be paid by the Department to the Seller, or for similar charges due from the Seller to the Department for Seller’s early termination for certain purposes.  Liquidated damages (payments of moneys due to actions taken by the Department or the Seller in accordance with certain contract provisions rather than providing for costs to be determined by a court of law or arbitration).  No termination charges or liquidated damage costs are specifically assumed in the Department’s Revenue Requirement (no costs to the Department, nor any payments to the Department by any Seller for such theoretical charges).</w:t>
      </w:r>
    </w:p>
    <w:p>
      <w:pPr>
        <w:pStyle w:val="BodyTextIndent"/>
        <w:spacing w:lineRule="auto" w:line="240"/>
        <w:rPr>
          <w:rFonts w:ascii="Palatino" w:hAnsi="Palatino" w:cs="Palatino"/>
          <w:sz w:val="22"/>
        </w:rPr>
      </w:pPr>
      <w:r>
        <w:rPr>
          <w:rFonts w:cs="Palatino" w:ascii="Palatino" w:hAnsi="Palatino"/>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emission costs</w:t>
      </w:r>
    </w:p>
    <w:p>
      <w:pPr>
        <w:pStyle w:val="BodyTextIndent"/>
        <w:spacing w:lineRule="auto" w:line="240"/>
        <w:ind w:hanging="0" w:start="540" w:end="0"/>
        <w:rPr>
          <w:rFonts w:ascii="Palatino" w:hAnsi="Palatino" w:cs="Palatino"/>
          <w:sz w:val="22"/>
        </w:rPr>
      </w:pPr>
      <w:r>
        <w:rPr>
          <w:rFonts w:cs="Palatino" w:ascii="Palatino" w:hAnsi="Palatino"/>
          <w:sz w:val="22"/>
        </w:rPr>
        <w:t>allowances for emission costs are included in the generation dispatch model and are included in the estimated cost of power.  These costs are not readily separable in the model due to the manner in which the model program computes the costs.</w:t>
      </w:r>
      <w:r>
        <w:br w:type="page"/>
      </w:r>
    </w:p>
    <w:p>
      <w:pPr>
        <w:pStyle w:val="Normal"/>
        <w:numPr>
          <w:ilvl w:val="0"/>
          <w:numId w:val="3"/>
        </w:numPr>
        <w:tabs>
          <w:tab w:val="clear" w:pos="720"/>
          <w:tab w:val="left" w:pos="450" w:leader="none"/>
        </w:tabs>
        <w:ind w:hanging="0" w:start="180" w:end="0"/>
        <w:rPr>
          <w:rFonts w:ascii="Palatino" w:hAnsi="Palatino" w:cs="Palatino"/>
          <w:b/>
          <w:color w:val="000000"/>
          <w:sz w:val="22"/>
        </w:rPr>
      </w:pPr>
      <w:r>
        <w:rPr>
          <w:rFonts w:eastAsia="Palatino" w:cs="Palatino" w:ascii="Palatino" w:hAnsi="Palatino"/>
          <w:b/>
          <w:color w:val="000000"/>
          <w:sz w:val="22"/>
        </w:rPr>
        <w:t xml:space="preserve">   </w:t>
      </w:r>
      <w:r>
        <w:rPr>
          <w:rFonts w:cs="Palatino" w:ascii="Palatino" w:hAnsi="Palatino"/>
          <w:b/>
          <w:color w:val="000000"/>
          <w:sz w:val="22"/>
        </w:rPr>
        <w:t>hour-ahead power</w:t>
      </w:r>
    </w:p>
    <w:p>
      <w:pPr>
        <w:pStyle w:val="BodyTextIndent"/>
        <w:spacing w:lineRule="auto" w:line="240"/>
        <w:ind w:hanging="0" w:start="630" w:end="0"/>
        <w:rPr>
          <w:rFonts w:ascii="Palatino" w:hAnsi="Palatino" w:cs="Palatino"/>
          <w:sz w:val="22"/>
        </w:rPr>
      </w:pPr>
      <w:r>
        <w:rPr>
          <w:rFonts w:eastAsia="Palatino" w:cs="Palatino" w:ascii="Palatino" w:hAnsi="Palatino"/>
          <w:sz w:val="22"/>
        </w:rPr>
        <w:t xml:space="preserve">           </w:t>
      </w:r>
      <w:r>
        <w:rPr>
          <w:rFonts w:cs="Palatino" w:ascii="Palatino" w:hAnsi="Palatino"/>
          <w:sz w:val="22"/>
        </w:rPr>
        <w:t>hour-ahead purchases, whether by the Department or the ISO, are included in Column E of Tables A-3 through A-6 in Exhibit A as part of “Residual Net Short” purchases.  Residual Net Short purchases are all net short energy purchases other than Ancillary Services which are required after the bilateral contract power.</w:t>
      </w:r>
    </w:p>
    <w:p>
      <w:pPr>
        <w:pStyle w:val="BodyTextIndent"/>
        <w:rPr>
          <w:rFonts w:ascii="Palatino" w:hAnsi="Palatino" w:cs="Palatino"/>
          <w:sz w:val="22"/>
        </w:rPr>
      </w:pPr>
      <w:r>
        <w:rPr>
          <w:rFonts w:cs="Palatino" w:ascii="Palatino" w:hAnsi="Palatino"/>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real time power</w:t>
      </w:r>
    </w:p>
    <w:p>
      <w:pPr>
        <w:pStyle w:val="BodyTextIndent"/>
        <w:spacing w:lineRule="auto" w:line="240"/>
        <w:ind w:hanging="0" w:start="540" w:end="0"/>
        <w:rPr>
          <w:rFonts w:ascii="Palatino" w:hAnsi="Palatino" w:cs="Palatino"/>
          <w:sz w:val="22"/>
        </w:rPr>
      </w:pPr>
      <w:r>
        <w:rPr>
          <w:rFonts w:cs="Palatino" w:ascii="Palatino" w:hAnsi="Palatino"/>
          <w:sz w:val="22"/>
        </w:rPr>
        <w:t xml:space="preserve">real time power purchases by the ISO are also included in “Residual Net Short” purchases in Column E in the tables A-3 through A-6 in Exhibit A.  </w:t>
      </w:r>
    </w:p>
    <w:p>
      <w:pPr>
        <w:pStyle w:val="BodyTextIndent"/>
        <w:spacing w:lineRule="auto" w:line="240"/>
        <w:rPr>
          <w:rFonts w:ascii="Palatino" w:hAnsi="Palatino" w:cs="Palatino"/>
          <w:sz w:val="22"/>
        </w:rPr>
      </w:pPr>
      <w:r>
        <w:rPr>
          <w:rFonts w:cs="Palatino" w:ascii="Palatino" w:hAnsi="Palatino"/>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transmission, distribution, scheduling</w:t>
      </w:r>
    </w:p>
    <w:p>
      <w:pPr>
        <w:pStyle w:val="BodyTextIndent"/>
        <w:spacing w:lineRule="auto" w:line="240"/>
        <w:ind w:hanging="0" w:start="540" w:end="0"/>
        <w:rPr>
          <w:rFonts w:ascii="Palatino" w:hAnsi="Palatino" w:cs="Palatino"/>
          <w:sz w:val="22"/>
        </w:rPr>
      </w:pPr>
      <w:r>
        <w:rPr>
          <w:rFonts w:cs="Palatino" w:ascii="Palatino" w:hAnsi="Palatino"/>
          <w:sz w:val="22"/>
        </w:rPr>
        <w:t>allowance for distribution and transmission line losses is included in the calculation of the quantity of net short energy required to be purchased to meet the retail customer loads of the IOUs.  There are not separate charges estimated in the net short energy costs.  As noted in Exhibit A, sellers are responsible for their own scheduling coordination costs and the IOUs are responsible for their costs of scheduling the load.  Any of the Department’s costs for coordination and scheduling are captured in the labor and related costs included “Administrative &amp; General or “A&amp;G” charges shown in Column B of the tables in Exhibit A-3 through A-6.</w:t>
      </w:r>
    </w:p>
    <w:p>
      <w:pPr>
        <w:pStyle w:val="BodyTextIndent"/>
        <w:rPr>
          <w:rFonts w:ascii="Palatino" w:hAnsi="Palatino" w:cs="Palatino"/>
          <w:sz w:val="22"/>
        </w:rPr>
      </w:pPr>
      <w:r>
        <w:rPr>
          <w:rFonts w:cs="Palatino" w:ascii="Palatino" w:hAnsi="Palatino"/>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ancillary services</w:t>
      </w:r>
    </w:p>
    <w:p>
      <w:pPr>
        <w:pStyle w:val="BodyTextIndent"/>
        <w:ind w:hanging="0" w:start="540" w:end="0"/>
        <w:rPr>
          <w:rFonts w:ascii="Palatino" w:hAnsi="Palatino" w:cs="Palatino"/>
          <w:sz w:val="22"/>
        </w:rPr>
      </w:pPr>
      <w:r>
        <w:rPr>
          <w:rFonts w:cs="Palatino" w:ascii="Palatino" w:hAnsi="Palatino"/>
          <w:sz w:val="22"/>
        </w:rPr>
        <w:t>See discussion of Ancillary Services in Exhibit A.</w:t>
      </w:r>
    </w:p>
    <w:p>
      <w:pPr>
        <w:pStyle w:val="Normal"/>
        <w:rPr>
          <w:rFonts w:ascii="Palatino" w:hAnsi="Palatino" w:cs="Palatino"/>
          <w:b/>
          <w:color w:val="000000"/>
          <w:sz w:val="22"/>
        </w:rPr>
      </w:pPr>
      <w:r>
        <w:rPr>
          <w:rFonts w:eastAsia="Palatino" w:cs="Palatino" w:ascii="Palatino" w:hAnsi="Palatino"/>
          <w:color w:val="000000"/>
          <w:sz w:val="22"/>
        </w:rPr>
        <w:t xml:space="preserve">  </w:t>
      </w:r>
    </w:p>
    <w:p>
      <w:pPr>
        <w:pStyle w:val="Normal"/>
        <w:numPr>
          <w:ilvl w:val="0"/>
          <w:numId w:val="10"/>
        </w:numPr>
        <w:rPr>
          <w:rFonts w:ascii="Palatino" w:hAnsi="Palatino" w:cs="Palatino"/>
          <w:b/>
          <w:color w:val="000000"/>
          <w:sz w:val="22"/>
        </w:rPr>
      </w:pPr>
      <w:r>
        <w:rPr>
          <w:rFonts w:cs="Palatino" w:ascii="Palatino" w:hAnsi="Palatino"/>
          <w:b/>
          <w:color w:val="000000"/>
          <w:sz w:val="22"/>
        </w:rPr>
        <w:t>Costs for fuel, including storage &amp; transportation, options, and financial instruments.</w:t>
      </w:r>
    </w:p>
    <w:p>
      <w:pPr>
        <w:pStyle w:val="Normal"/>
        <w:ind w:start="360" w:end="0"/>
        <w:rPr>
          <w:rFonts w:ascii="Palatino" w:hAnsi="Palatino" w:cs="Palatino"/>
          <w:b/>
          <w:color w:val="000000"/>
          <w:sz w:val="22"/>
        </w:rPr>
      </w:pPr>
      <w:r>
        <w:rPr>
          <w:rFonts w:cs="Palatino" w:ascii="Palatino" w:hAnsi="Palatino"/>
          <w:b/>
          <w:color w:val="000000"/>
          <w:sz w:val="22"/>
        </w:rPr>
      </w:r>
    </w:p>
    <w:p>
      <w:pPr>
        <w:pStyle w:val="Normal"/>
        <w:ind w:start="360" w:end="0"/>
        <w:rPr/>
      </w:pPr>
      <w:r>
        <w:rPr>
          <w:rFonts w:cs="Palatino" w:ascii="Palatino" w:hAnsi="Palatino"/>
          <w:color w:val="000000"/>
          <w:sz w:val="22"/>
        </w:rPr>
        <w:t xml:space="preserve">The cost of fuel for the contracted power is included in Column D in the tables in Exhibit A.  The cost of fuel is also included in the short-term purchases included in the “Residual Net Short” in Column E in the tables in Exhibit A-3 though A-6.  </w:t>
      </w:r>
      <w:r>
        <w:rPr>
          <w:rFonts w:cs="Palatino" w:ascii="Palatino" w:hAnsi="Palatino"/>
          <w:sz w:val="22"/>
        </w:rPr>
        <w:t>Table A-7 shows the cost of natural gas assumed in the cost of power for long-term contracts and for short-term spot purchase market clearing price assumptions.</w:t>
      </w:r>
    </w:p>
    <w:p>
      <w:pPr>
        <w:pStyle w:val="Normal"/>
        <w:ind w:start="360" w:end="0"/>
        <w:rPr>
          <w:rFonts w:ascii="Palatino" w:hAnsi="Palatino" w:cs="Palatino"/>
          <w:b/>
          <w:color w:val="FF0000"/>
          <w:sz w:val="22"/>
        </w:rPr>
      </w:pPr>
      <w:r>
        <w:rPr>
          <w:rFonts w:cs="Palatino" w:ascii="Palatino" w:hAnsi="Palatino"/>
          <w:b/>
          <w:color w:val="FF0000"/>
          <w:sz w:val="22"/>
        </w:rPr>
      </w:r>
    </w:p>
    <w:p>
      <w:pPr>
        <w:pStyle w:val="BodyTextIndent3"/>
        <w:ind w:hanging="0" w:start="360" w:end="0"/>
        <w:rPr>
          <w:rFonts w:ascii="Palatino" w:hAnsi="Palatino" w:cs="Palatino"/>
          <w:sz w:val="22"/>
        </w:rPr>
      </w:pPr>
      <w:r>
        <w:rPr>
          <w:rFonts w:cs="Palatino" w:ascii="Palatino" w:hAnsi="Palatino"/>
          <w:sz w:val="22"/>
        </w:rPr>
        <w:t>Fuel transportation charges are estimated in the generation dispatch model based upon regional location of generating sources and are included in the cost of power shown in Columns D and E in the tables in Exhibit A.  Although the Department may have rights to implement option and financial hedging programs and instruments, no such actions or associated costs are specifically assumed in the fuel costs herein.  All fuel costs included in the contracts and the spot market purchases are assumed to be equal to the average spot market price of natural gas.</w:t>
      </w:r>
    </w:p>
    <w:p>
      <w:pPr>
        <w:pStyle w:val="Normal"/>
        <w:jc w:val="end"/>
        <w:rPr>
          <w:rFonts w:ascii="Palatino" w:hAnsi="Palatino" w:cs="Palatino"/>
          <w:color w:val="000000"/>
          <w:sz w:val="22"/>
        </w:rPr>
      </w:pPr>
      <w:r>
        <w:rPr>
          <w:rFonts w:cs="Palatino" w:ascii="Palatino" w:hAnsi="Palatino"/>
          <w:color w:val="000000"/>
          <w:sz w:val="22"/>
        </w:rPr>
      </w:r>
    </w:p>
    <w:p>
      <w:pPr>
        <w:pStyle w:val="Normal"/>
        <w:rPr/>
      </w:pPr>
      <w:r>
        <w:rPr>
          <w:rFonts w:cs="Palatino" w:ascii="Palatino" w:hAnsi="Palatino"/>
          <w:b/>
          <w:color w:val="000000"/>
          <w:sz w:val="22"/>
        </w:rPr>
        <w:t>3.</w:t>
      </w:r>
      <w:r>
        <w:rPr>
          <w:rFonts w:cs="Palatino" w:ascii="Palatino" w:hAnsi="Palatino"/>
          <w:color w:val="000000"/>
          <w:sz w:val="22"/>
        </w:rPr>
        <w:t xml:space="preserve">  </w:t>
      </w:r>
      <w:r>
        <w:rPr>
          <w:rFonts w:cs="Palatino" w:ascii="Palatino" w:hAnsi="Palatino"/>
          <w:b/>
          <w:color w:val="000000"/>
          <w:sz w:val="22"/>
        </w:rPr>
        <w:t>Costs to avoid or minimize the amount of power to be acquired including:</w:t>
      </w:r>
    </w:p>
    <w:p>
      <w:pPr>
        <w:pStyle w:val="Normal"/>
        <w:ind w:start="120" w:end="0"/>
        <w:rPr>
          <w:rFonts w:ascii="Palatino" w:hAnsi="Palatino" w:cs="Palatino"/>
          <w:b/>
          <w:color w:val="000000"/>
          <w:sz w:val="22"/>
        </w:rPr>
      </w:pPr>
      <w:r>
        <w:rPr>
          <w:rFonts w:cs="Palatino" w:ascii="Palatino" w:hAnsi="Palatino"/>
          <w:b/>
          <w:color w:val="000000"/>
          <w:sz w:val="22"/>
        </w:rPr>
      </w:r>
    </w:p>
    <w:p>
      <w:pPr>
        <w:pStyle w:val="Normal"/>
        <w:numPr>
          <w:ilvl w:val="0"/>
          <w:numId w:val="3"/>
        </w:numPr>
        <w:rPr>
          <w:rFonts w:ascii="Palatino" w:hAnsi="Palatino" w:cs="Palatino"/>
          <w:b/>
          <w:color w:val="000000"/>
          <w:sz w:val="22"/>
        </w:rPr>
      </w:pPr>
      <w:r>
        <w:rPr>
          <w:rFonts w:cs="Palatino" w:ascii="Palatino" w:hAnsi="Palatino"/>
          <w:b/>
          <w:color w:val="000000"/>
          <w:sz w:val="22"/>
        </w:rPr>
        <w:t>conservation programs</w:t>
      </w:r>
    </w:p>
    <w:p>
      <w:pPr>
        <w:pStyle w:val="Normal"/>
        <w:numPr>
          <w:ilvl w:val="0"/>
          <w:numId w:val="3"/>
        </w:numPr>
        <w:rPr>
          <w:rFonts w:ascii="Palatino" w:hAnsi="Palatino" w:cs="Palatino"/>
          <w:b/>
          <w:color w:val="000000"/>
          <w:sz w:val="22"/>
        </w:rPr>
      </w:pPr>
      <w:r>
        <w:rPr>
          <w:rFonts w:cs="Palatino" w:ascii="Palatino" w:hAnsi="Palatino"/>
          <w:b/>
          <w:color w:val="000000"/>
          <w:sz w:val="22"/>
        </w:rPr>
        <w:t>load curtailment/interruptible programs</w:t>
      </w:r>
    </w:p>
    <w:p>
      <w:pPr>
        <w:pStyle w:val="Normal"/>
        <w:numPr>
          <w:ilvl w:val="0"/>
          <w:numId w:val="3"/>
        </w:numPr>
        <w:rPr>
          <w:rFonts w:ascii="Palatino" w:hAnsi="Palatino" w:cs="Palatino"/>
          <w:b/>
          <w:color w:val="000000"/>
          <w:sz w:val="22"/>
        </w:rPr>
      </w:pPr>
      <w:r>
        <w:rPr>
          <w:rFonts w:cs="Palatino" w:ascii="Palatino" w:hAnsi="Palatino"/>
          <w:b/>
          <w:color w:val="000000"/>
          <w:sz w:val="22"/>
        </w:rPr>
        <w:t>conservation rebates</w:t>
      </w:r>
    </w:p>
    <w:p>
      <w:pPr>
        <w:pStyle w:val="Normal"/>
        <w:numPr>
          <w:ilvl w:val="0"/>
          <w:numId w:val="3"/>
        </w:numPr>
        <w:rPr>
          <w:rFonts w:ascii="Palatino" w:hAnsi="Palatino" w:cs="Palatino"/>
          <w:color w:val="000000"/>
          <w:sz w:val="22"/>
        </w:rPr>
      </w:pPr>
      <w:r>
        <w:rPr>
          <w:rFonts w:cs="Palatino" w:ascii="Palatino" w:hAnsi="Palatino"/>
          <w:b/>
          <w:color w:val="000000"/>
          <w:sz w:val="22"/>
        </w:rPr>
        <w:t>load management programs</w:t>
      </w:r>
    </w:p>
    <w:p>
      <w:pPr>
        <w:pStyle w:val="Normal"/>
        <w:ind w:start="120" w:end="0"/>
        <w:rPr>
          <w:rFonts w:ascii="Palatino" w:hAnsi="Palatino" w:cs="Palatino"/>
          <w:color w:val="000000"/>
          <w:sz w:val="22"/>
        </w:rPr>
      </w:pPr>
      <w:r>
        <w:rPr>
          <w:rFonts w:cs="Palatino" w:ascii="Palatino" w:hAnsi="Palatino"/>
          <w:color w:val="000000"/>
          <w:sz w:val="22"/>
        </w:rPr>
      </w:r>
    </w:p>
    <w:p>
      <w:pPr>
        <w:pStyle w:val="BodyTextIndent"/>
        <w:spacing w:lineRule="auto" w:line="240"/>
        <w:rPr>
          <w:rFonts w:ascii="Palatino" w:hAnsi="Palatino" w:cs="Palatino"/>
          <w:sz w:val="22"/>
        </w:rPr>
      </w:pPr>
      <w:r>
        <w:rPr>
          <w:rFonts w:cs="Palatino" w:ascii="Palatino" w:hAnsi="Palatino"/>
          <w:sz w:val="22"/>
        </w:rPr>
        <w:t>See Exhibit B for the description of the programs, the amount of savings in MWh per month, and the associated costs for these programs and savings.  These costs are shown in the aggregate by month in Column C, “DSM” (demand side management) in the tables in Exhibit A.</w:t>
      </w:r>
    </w:p>
    <w:p>
      <w:pPr>
        <w:pStyle w:val="Normal"/>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Payments under security agreements</w:t>
      </w:r>
    </w:p>
    <w:p>
      <w:pPr>
        <w:pStyle w:val="Normal"/>
        <w:rPr>
          <w:rFonts w:ascii="Palatino" w:hAnsi="Palatino" w:cs="Palatino"/>
          <w:b/>
          <w:color w:val="000000"/>
          <w:sz w:val="22"/>
        </w:rPr>
      </w:pPr>
      <w:r>
        <w:rPr>
          <w:rFonts w:cs="Palatino" w:ascii="Palatino" w:hAnsi="Palatino"/>
          <w:b/>
          <w:color w:val="000000"/>
          <w:sz w:val="22"/>
        </w:rPr>
      </w:r>
    </w:p>
    <w:p>
      <w:pPr>
        <w:pStyle w:val="BodyTextIndent2"/>
        <w:ind w:start="360" w:end="0"/>
        <w:rPr/>
      </w:pPr>
      <w:r>
        <w:rPr/>
        <w:t>There are no specific security agreement payments assumed to be payable during the term of the Department’s Revenue Requirement as filed herein.</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Administrative, general &amp; overhead expenses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The Department’s A&amp;G (administrative and overhead) expenses are as described in Exhibit A, and as summarized by month as Column B “A&amp;G” in the tables A-3 through A-6 in Exhibit A.</w:t>
      </w:r>
    </w:p>
    <w:p>
      <w:pPr>
        <w:pStyle w:val="Normal"/>
        <w:ind w:start="360" w:end="0"/>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Insurance premiums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Insurance premiums are included in A&amp;G expenses described above.</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Payments for employee benefits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These costs are included in A&amp;G expenses described above and included in Column B “A&amp;G” in the tables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Legal &amp; engineering expenses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tabs>
          <w:tab w:val="clear" w:pos="720"/>
          <w:tab w:val="left" w:pos="450" w:leader="none"/>
        </w:tabs>
        <w:ind w:start="360" w:end="0"/>
        <w:rPr/>
      </w:pPr>
      <w:r>
        <w:rPr/>
        <w:t>These costs are included in A&amp;G expenses described above and included in Column B “A&amp;G” in the tables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Consulting &amp; technical services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These costs are included in A&amp;G expenses described above and included in Column B “A&amp;G” in the tables in Exhibit A.</w:t>
      </w:r>
    </w:p>
    <w:p>
      <w:pPr>
        <w:pStyle w:val="Normal"/>
        <w:ind w:start="360" w:end="0"/>
        <w:rPr>
          <w:rFonts w:ascii="Palatino" w:hAnsi="Palatino" w:cs="Palatino"/>
          <w:b/>
          <w:color w:val="000000"/>
          <w:sz w:val="22"/>
        </w:rPr>
      </w:pPr>
      <w:r>
        <w:rPr>
          <w:rFonts w:cs="Palatino" w:ascii="Palatino" w:hAnsi="Palatino"/>
          <w:b/>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Charges for licenses, orders or other governmental mandates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There are no specific charges estimated or included in the Department’s Revenue Requirement as filed.</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Taxes, governmental charges, etc.</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There are no known applicable taxes or governmental charges which are capable of being estimated as of the date of this filing, and none were included in the Department’s Revenue Requirement.</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Expenses, liabilities, compensation of trustees and other fiduciaries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Any such charges are anticipated to be those associated with issuance of the Department’s bonds and would be included in the cost of issuance of the Bonds.</w:t>
      </w:r>
    </w:p>
    <w:p>
      <w:pPr>
        <w:pStyle w:val="Normal"/>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Costs of complying with any rebate requirements relating to the Bonds</w:t>
      </w:r>
    </w:p>
    <w:p>
      <w:pPr>
        <w:pStyle w:val="BodyTextIndent2"/>
        <w:rPr>
          <w:rFonts w:ascii="Palatino" w:hAnsi="Palatino" w:cs="Palatino"/>
          <w:b/>
          <w:color w:val="000000"/>
          <w:sz w:val="22"/>
        </w:rPr>
      </w:pPr>
      <w:r>
        <w:rPr>
          <w:rFonts w:cs="Palatino" w:ascii="Palatino" w:hAnsi="Palatino"/>
          <w:b/>
          <w:color w:val="000000"/>
          <w:sz w:val="22"/>
        </w:rPr>
      </w:r>
    </w:p>
    <w:p>
      <w:pPr>
        <w:pStyle w:val="BodyTextIndent2"/>
        <w:ind w:start="360" w:end="0"/>
        <w:rPr/>
      </w:pPr>
      <w:r>
        <w:rPr/>
        <w:t>No such costs are included during the term of this Revenue Requirement filing.</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13"/>
        </w:numPr>
        <w:rPr>
          <w:rFonts w:ascii="Palatino" w:hAnsi="Palatino" w:cs="Palatino"/>
          <w:b/>
          <w:color w:val="000000"/>
          <w:sz w:val="22"/>
        </w:rPr>
      </w:pPr>
      <w:r>
        <w:rPr>
          <w:rFonts w:cs="Palatino" w:ascii="Palatino" w:hAnsi="Palatino"/>
          <w:b/>
          <w:color w:val="000000"/>
          <w:sz w:val="22"/>
        </w:rPr>
        <w:t>Deposits to fund or replenish operating reserves</w:t>
      </w:r>
    </w:p>
    <w:p>
      <w:pPr>
        <w:pStyle w:val="BodyTextIndent3"/>
        <w:ind w:hanging="0" w:start="360" w:end="0"/>
        <w:rPr>
          <w:rFonts w:ascii="Palatino" w:hAnsi="Palatino" w:cs="Palatino"/>
          <w:b/>
          <w:color w:val="000000"/>
          <w:sz w:val="22"/>
        </w:rPr>
      </w:pPr>
      <w:r>
        <w:rPr>
          <w:rFonts w:cs="Palatino" w:ascii="Palatino" w:hAnsi="Palatino"/>
          <w:b/>
          <w:color w:val="000000"/>
          <w:sz w:val="22"/>
        </w:rPr>
      </w:r>
    </w:p>
    <w:p>
      <w:pPr>
        <w:pStyle w:val="BodyTextIndent3"/>
        <w:ind w:hanging="0" w:start="360" w:end="0"/>
        <w:rPr>
          <w:rFonts w:ascii="Palatino" w:hAnsi="Palatino" w:cs="Palatino"/>
          <w:sz w:val="22"/>
        </w:rPr>
      </w:pPr>
      <w:r>
        <w:rPr>
          <w:rFonts w:cs="Palatino" w:ascii="Palatino" w:hAnsi="Palatino"/>
          <w:sz w:val="22"/>
        </w:rPr>
        <w:t>Initial deposits to fund operating reserves are capitalized in the Department’s Bond issue.  Operating reserves would need to be replenished only if costs were significantly outside the assumptions which underlie the Department’s Revenue Requirement as presented in this filing.  Therefore, there are no assumed costs applicable in this Revenue Requirement filing.</w:t>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rPr>
          <w:rFonts w:ascii="Palatino" w:hAnsi="Palatino" w:cs="Palatino"/>
          <w:sz w:val="22"/>
        </w:rPr>
      </w:pPr>
      <w:r>
        <w:rPr>
          <w:rFonts w:cs="Palatino" w:ascii="Palatino" w:hAnsi="Palatino"/>
          <w:sz w:val="22"/>
        </w:rPr>
      </w:r>
    </w:p>
    <w:p>
      <w:pPr>
        <w:pStyle w:val="BodyTextIndent3"/>
        <w:ind w:hanging="0" w:start="360" w:end="0"/>
        <w:jc w:val="center"/>
        <w:rPr>
          <w:rFonts w:ascii="Palatino" w:hAnsi="Palatino" w:cs="Palatino"/>
          <w:b/>
          <w:sz w:val="22"/>
        </w:rPr>
      </w:pPr>
      <w:r>
        <w:rPr>
          <w:rFonts w:cs="Palatino" w:ascii="Palatino" w:hAnsi="Palatino"/>
          <w:b/>
          <w:sz w:val="22"/>
        </w:rPr>
        <w:t>(END OF APPENDIX A)</w:t>
      </w:r>
    </w:p>
    <w:p>
      <w:pPr>
        <w:pStyle w:val="BodyTextIndent3"/>
        <w:ind w:hanging="0" w:start="360" w:end="0"/>
        <w:jc w:val="center"/>
        <w:rPr>
          <w:rFonts w:ascii="Palatino" w:hAnsi="Palatino" w:cs="Palatino"/>
          <w:b/>
          <w:sz w:val="22"/>
        </w:rPr>
      </w:pPr>
      <w:r>
        <w:rPr>
          <w:rFonts w:cs="Palatino" w:ascii="Palatino" w:hAnsi="Palatino"/>
          <w:b/>
          <w:sz w:val="22"/>
        </w:rPr>
      </w:r>
    </w:p>
    <w:p>
      <w:pPr>
        <w:pStyle w:val="BodyTextIndent3"/>
        <w:ind w:hanging="0" w:start="360" w:end="0"/>
        <w:rPr>
          <w:rFonts w:ascii="Palatino" w:hAnsi="Palatino" w:cs="Palatino"/>
          <w:b/>
          <w:sz w:val="22"/>
        </w:rPr>
      </w:pPr>
      <w:r>
        <w:rPr>
          <w:rFonts w:cs="Palatino" w:ascii="Palatino" w:hAnsi="Palatino"/>
          <w:b/>
          <w:sz w:val="22"/>
        </w:rPr>
      </w:r>
      <w:r>
        <w:br w:type="page"/>
      </w:r>
    </w:p>
    <w:p>
      <w:pPr>
        <w:pStyle w:val="BodyTextIndent3"/>
        <w:ind w:hanging="0" w:start="360" w:end="0"/>
        <w:rPr>
          <w:rFonts w:ascii="Palatino" w:hAnsi="Palatino" w:cs="Palatino"/>
          <w:sz w:val="22"/>
        </w:rPr>
      </w:pPr>
      <w:r>
        <w:rPr>
          <w:rFonts w:cs="Palatino" w:ascii="Palatino" w:hAnsi="Palatino"/>
          <w:sz w:val="22"/>
        </w:rPr>
      </w:r>
    </w:p>
    <w:p>
      <w:pPr>
        <w:pStyle w:val="standard"/>
        <w:spacing w:lineRule="auto" w:line="240"/>
        <w:ind w:hanging="0" w:end="0"/>
        <w:jc w:val="center"/>
        <w:rPr>
          <w:b/>
        </w:rPr>
      </w:pPr>
      <w:r>
        <w:rPr>
          <w:b/>
        </w:rPr>
        <w:t>APPENDIX B</w:t>
      </w:r>
    </w:p>
    <w:p>
      <w:pPr>
        <w:pStyle w:val="standard"/>
        <w:spacing w:lineRule="auto" w:line="240"/>
        <w:ind w:hanging="0" w:end="0"/>
        <w:jc w:val="center"/>
        <w:rPr>
          <w:b/>
        </w:rPr>
      </w:pPr>
      <w:r>
        <w:rPr>
          <w:b/>
        </w:rPr>
        <w:t>June 18 Geoffrey Brown Letter to DWR</w:t>
      </w:r>
    </w:p>
    <w:p>
      <w:pPr>
        <w:pStyle w:val="standard"/>
        <w:spacing w:lineRule="auto" w:line="240"/>
        <w:rPr>
          <w:b/>
        </w:rPr>
      </w:pPr>
      <w:r>
        <w:rPr>
          <w:b/>
        </w:rPr>
      </w:r>
    </w:p>
    <w:p>
      <w:pPr>
        <w:pStyle w:val="standard"/>
        <w:ind w:hanging="0" w:end="0"/>
        <w:rPr/>
      </w:pPr>
      <w:r>
        <w:rPr/>
        <w:t>June 18, 2001</w:t>
      </w:r>
    </w:p>
    <w:p>
      <w:pPr>
        <w:pStyle w:val="standard"/>
        <w:spacing w:lineRule="auto" w:line="240"/>
        <w:ind w:hanging="0" w:end="0"/>
        <w:rPr/>
      </w:pPr>
      <w:r>
        <w:rPr/>
        <w:t>Thomas M. Hannigan</w:t>
      </w:r>
    </w:p>
    <w:p>
      <w:pPr>
        <w:pStyle w:val="standard"/>
        <w:spacing w:lineRule="auto" w:line="240"/>
        <w:ind w:hanging="0" w:end="0"/>
        <w:rPr/>
      </w:pPr>
      <w:r>
        <w:rPr/>
        <w:t>Director</w:t>
      </w:r>
    </w:p>
    <w:p>
      <w:pPr>
        <w:pStyle w:val="standard"/>
        <w:spacing w:lineRule="auto" w:line="240"/>
        <w:ind w:hanging="0" w:end="0"/>
        <w:rPr/>
      </w:pPr>
      <w:r>
        <w:rPr/>
        <w:t>Department of Water Resources</w:t>
      </w:r>
    </w:p>
    <w:p>
      <w:pPr>
        <w:pStyle w:val="standard"/>
        <w:spacing w:lineRule="auto" w:line="240"/>
        <w:ind w:hanging="0" w:end="0"/>
        <w:rPr/>
      </w:pPr>
      <w:r>
        <w:rPr/>
      </w:r>
    </w:p>
    <w:p>
      <w:pPr>
        <w:pStyle w:val="standard"/>
        <w:spacing w:lineRule="auto" w:line="240"/>
        <w:ind w:hanging="0" w:end="0"/>
        <w:rPr/>
      </w:pPr>
      <w:r>
        <w:rPr/>
      </w:r>
    </w:p>
    <w:p>
      <w:pPr>
        <w:pStyle w:val="standard"/>
        <w:spacing w:lineRule="auto" w:line="240"/>
        <w:ind w:hanging="0" w:end="0"/>
        <w:rPr/>
      </w:pPr>
      <w:r>
        <w:rPr/>
        <w:t>Dear Mr. Hannigan:</w:t>
      </w:r>
    </w:p>
    <w:p>
      <w:pPr>
        <w:pStyle w:val="standard"/>
        <w:spacing w:lineRule="auto" w:line="240"/>
        <w:ind w:hanging="0" w:end="0"/>
        <w:rPr/>
      </w:pPr>
      <w:r>
        <w:rPr/>
      </w:r>
    </w:p>
    <w:p>
      <w:pPr>
        <w:pStyle w:val="standard"/>
        <w:spacing w:lineRule="auto" w:line="240"/>
        <w:rPr/>
      </w:pPr>
      <w:r>
        <w:rPr/>
        <w:t xml:space="preserve">Thank you for your letter of May 2, 2001, which presented the Department of Water Resources’ (DWR) estimate of its revenue requirements for the period January 2001 through June 2002.  As you know, the California Public Utilities Commission must now implement Water Code Section 80110 (herein after “Section 80110”) which requires that the Commission ensure that DWR recover its revenue requirement.  </w:t>
      </w:r>
    </w:p>
    <w:p>
      <w:pPr>
        <w:pStyle w:val="standard"/>
        <w:spacing w:lineRule="auto" w:line="240"/>
        <w:rPr>
          <w:rFonts w:eastAsia="Palatino"/>
        </w:rPr>
      </w:pPr>
      <w:r>
        <w:rPr>
          <w:rFonts w:eastAsia="Palatino"/>
        </w:rPr>
        <w:t xml:space="preserve"> </w:t>
      </w:r>
    </w:p>
    <w:p>
      <w:pPr>
        <w:pStyle w:val="standard"/>
        <w:spacing w:lineRule="auto" w:line="240"/>
        <w:rPr/>
      </w:pPr>
      <w:r>
        <w:rPr/>
        <w:t>Section 80110 of the California Water Code provides in part that DWR “shall be entitled to recover, as a revenue requirement, amounts and at the times necessary to enable it to comply with Section 80134.”  Further, Section 80110 provides that and “just and reasonable” review of its requirements shall be conducted and determined by DWR.</w:t>
      </w:r>
    </w:p>
    <w:p>
      <w:pPr>
        <w:pStyle w:val="standard"/>
        <w:spacing w:lineRule="auto" w:line="240"/>
        <w:rPr/>
      </w:pPr>
      <w:r>
        <w:rPr/>
      </w:r>
    </w:p>
    <w:p>
      <w:pPr>
        <w:pStyle w:val="standard"/>
        <w:spacing w:lineRule="auto" w:line="240"/>
        <w:rPr/>
      </w:pPr>
      <w:r>
        <w:rPr/>
        <w:t>California Water Code Section 80134 provides that:</w:t>
      </w:r>
    </w:p>
    <w:p>
      <w:pPr>
        <w:pStyle w:val="quote"/>
        <w:rPr/>
      </w:pPr>
      <w:r>
        <w:rPr/>
        <w:t>“</w:t>
      </w:r>
      <w:r>
        <w:rPr/>
        <w:t xml:space="preserve">(a) 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 </w:t>
      </w:r>
    </w:p>
    <w:p>
      <w:pPr>
        <w:pStyle w:val="quote"/>
        <w:numPr>
          <w:ilvl w:val="0"/>
          <w:numId w:val="2"/>
        </w:numPr>
        <w:tabs>
          <w:tab w:val="clear" w:pos="720"/>
          <w:tab w:val="left" w:pos="1890" w:leader="none"/>
        </w:tabs>
        <w:rPr/>
      </w:pPr>
      <w:r>
        <w:rPr/>
        <w:t xml:space="preserve">The amounts necessary to pay the principal of and premium, if any, and interest on all bonds as and when the same shall become due. </w:t>
      </w:r>
    </w:p>
    <w:p>
      <w:pPr>
        <w:pStyle w:val="quote"/>
        <w:numPr>
          <w:ilvl w:val="0"/>
          <w:numId w:val="2"/>
        </w:numPr>
        <w:tabs>
          <w:tab w:val="clear" w:pos="720"/>
          <w:tab w:val="left" w:pos="1080" w:leader="none"/>
          <w:tab w:val="left" w:pos="1890" w:leader="none"/>
        </w:tabs>
        <w:ind w:hanging="465" w:start="1890" w:end="1260"/>
        <w:rPr/>
      </w:pPr>
      <w:r>
        <w:rPr/>
        <w:t xml:space="preserve">The amounts necessary to pay for power purchased by it and to deliver it to purchasers, including the cost of electric power and   transmission, scheduling, and other related expenses incurred by the department, or to make payments under any other contracts, agreements, or obligations entered into by it pursuant hereto, in the amounts and at the times the same shall become due. </w:t>
      </w:r>
    </w:p>
    <w:p>
      <w:pPr>
        <w:pStyle w:val="quote"/>
        <w:numPr>
          <w:ilvl w:val="0"/>
          <w:numId w:val="2"/>
        </w:numPr>
        <w:rPr/>
      </w:pPr>
      <w:r>
        <w:rPr/>
        <w:t xml:space="preserve">Reserves in such amount as may be determined by the department from time to time to be necessary or desirable. </w:t>
      </w:r>
    </w:p>
    <w:p>
      <w:pPr>
        <w:pStyle w:val="quote"/>
        <w:numPr>
          <w:ilvl w:val="0"/>
          <w:numId w:val="2"/>
        </w:numPr>
        <w:rPr/>
      </w:pPr>
      <w:r>
        <w:rPr/>
        <w:t>The pooled money investment rate on funds advanced for electric power purchases prior to the receipt of payment for those purchases by the purchasing entity.</w:t>
      </w:r>
    </w:p>
    <w:p>
      <w:pPr>
        <w:pStyle w:val="quote"/>
        <w:numPr>
          <w:ilvl w:val="0"/>
          <w:numId w:val="2"/>
        </w:numPr>
        <w:rPr/>
      </w:pPr>
      <w:r>
        <w:rPr/>
        <w:t xml:space="preserve">Repayment to the General Fund of appropriations made to the fund pursuant hereto or hereafter for purposes of this division, appropriations made to the Department of </w:t>
      </w:r>
      <w:r>
        <w:rPr>
          <w:rStyle w:val="Strong"/>
          <w:b w:val="false"/>
        </w:rPr>
        <w:t>Water</w:t>
      </w:r>
      <w:r>
        <w:rPr/>
        <w:t xml:space="preserve"> Resources Electric Power Fund, and General Fund moneys expended by the department pursuant to the Governor's Emergency Proclamation dated January 17, 2001. </w:t>
      </w:r>
    </w:p>
    <w:p>
      <w:pPr>
        <w:pStyle w:val="quote"/>
        <w:numPr>
          <w:ilvl w:val="0"/>
          <w:numId w:val="2"/>
        </w:numPr>
        <w:rPr/>
      </w:pPr>
      <w:r>
        <w:rPr/>
        <w:t xml:space="preserve">The administrative costs of the department incurred in administering this division. </w:t>
      </w:r>
    </w:p>
    <w:p>
      <w:pPr>
        <w:pStyle w:val="quote"/>
        <w:ind w:hanging="360" w:start="1080" w:end="1260"/>
        <w:rPr/>
      </w:pPr>
      <w:r>
        <w:rPr/>
        <w:t xml:space="preserve">(b) The department shall notify the commission of its revenue requirement pursuant to Section 80110.” </w:t>
      </w:r>
    </w:p>
    <w:p>
      <w:pPr>
        <w:pStyle w:val="standard"/>
        <w:rPr/>
      </w:pPr>
      <w:r>
        <w:rPr/>
        <w:t>While Section 80110 clearly entitles DWR to recover its revenue requirement, the Commission has a duty to ensure that DWR’s revenue requirement request covers only those items specifically enumerated in Section 80134.  In addition, in order to determine the rates dedicated to DWR’s revenue requirement, we must know the kWhs that are supplied by DWR for each utility. We would appreciate it if DWR would resubmit its revenue requirements with expenses clearly identified and classified into the 6 categories enumerated in Section 80134.  To the extent DWR believes that any of the information requested herein should be treated as confidential, please submit the information under seal.  I would appreciate receiving this information promptly, no later than June 21, so that the Commission can, in turn, implement DWR’s revenue requirements expeditiously.</w:t>
      </w:r>
    </w:p>
    <w:p>
      <w:pPr>
        <w:pStyle w:val="standard"/>
        <w:rPr/>
      </w:pPr>
      <w:r>
        <w:rPr/>
        <w:tab/>
        <w:tab/>
        <w:tab/>
        <w:tab/>
        <w:tab/>
        <w:tab/>
        <w:t>Sincerely,</w:t>
      </w:r>
    </w:p>
    <w:p>
      <w:pPr>
        <w:pStyle w:val="standard"/>
        <w:rPr/>
      </w:pPr>
      <w:r>
        <w:rPr/>
        <w:tab/>
        <w:tab/>
        <w:tab/>
        <w:tab/>
        <w:tab/>
        <w:tab/>
        <w:t>Geoffrey Brown</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jc w:val="center"/>
        <w:rPr>
          <w:b/>
        </w:rPr>
      </w:pPr>
      <w:r>
        <w:rPr>
          <w:b/>
        </w:rPr>
      </w:r>
    </w:p>
    <w:p>
      <w:pPr>
        <w:pStyle w:val="standard"/>
        <w:jc w:val="center"/>
        <w:rPr>
          <w:b/>
        </w:rPr>
      </w:pPr>
      <w:r>
        <w:rPr>
          <w:b/>
        </w:rPr>
      </w:r>
    </w:p>
    <w:p>
      <w:pPr>
        <w:pStyle w:val="standard"/>
        <w:jc w:val="center"/>
        <w:rPr>
          <w:b/>
        </w:rPr>
      </w:pPr>
      <w:r>
        <w:rPr>
          <w:b/>
        </w:rPr>
        <w:t>(END OF APPENDIX B)</w:t>
      </w:r>
      <w:r>
        <w:br w:type="page"/>
      </w:r>
    </w:p>
    <w:p>
      <w:pPr>
        <w:pStyle w:val="standard"/>
        <w:spacing w:lineRule="auto" w:line="240"/>
        <w:jc w:val="center"/>
        <w:rPr>
          <w:b/>
        </w:rPr>
      </w:pPr>
      <w:r>
        <w:rPr>
          <w:b/>
        </w:rPr>
        <w:t>APPENDIX C</w:t>
      </w:r>
    </w:p>
    <w:p>
      <w:pPr>
        <w:pStyle w:val="standard"/>
        <w:spacing w:lineRule="auto" w:line="240"/>
        <w:rPr>
          <w:b/>
        </w:rPr>
      </w:pPr>
      <w:r>
        <w:rPr>
          <w:b/>
        </w:rPr>
      </w:r>
    </w:p>
    <w:p>
      <w:pPr>
        <w:pStyle w:val="standard"/>
        <w:spacing w:lineRule="auto" w:line="240"/>
        <w:ind w:hanging="0" w:end="0"/>
        <w:jc w:val="center"/>
        <w:rPr>
          <w:b/>
        </w:rPr>
      </w:pPr>
      <w:r>
        <w:rPr>
          <w:b/>
        </w:rPr>
        <w:t>June 26 Geoffrey Brown Letter to DWR</w:t>
      </w:r>
    </w:p>
    <w:p>
      <w:pPr>
        <w:pStyle w:val="Heading1"/>
        <w:ind w:hanging="0" w:start="0"/>
        <w:rPr>
          <w:b w:val="false"/>
          <w:sz w:val="26"/>
        </w:rPr>
      </w:pPr>
      <w:r>
        <w:rPr>
          <w:b w:val="false"/>
          <w:sz w:val="26"/>
        </w:rPr>
      </w:r>
    </w:p>
    <w:p>
      <w:pPr>
        <w:pStyle w:val="Heading1"/>
        <w:ind w:hanging="0" w:start="0"/>
        <w:rPr>
          <w:b w:val="false"/>
          <w:sz w:val="26"/>
        </w:rPr>
      </w:pPr>
      <w:r>
        <w:rPr>
          <w:b w:val="false"/>
          <w:sz w:val="26"/>
        </w:rPr>
        <w:t>June 26, 2001</w:t>
      </w:r>
    </w:p>
    <w:p>
      <w:pPr>
        <w:pStyle w:val="Normal"/>
        <w:spacing w:lineRule="auto" w:line="360"/>
        <w:jc w:val="center"/>
        <w:rPr>
          <w:b/>
          <w:sz w:val="26"/>
        </w:rPr>
      </w:pPr>
      <w:r>
        <w:rPr>
          <w:b/>
          <w:sz w:val="26"/>
        </w:rPr>
      </w:r>
    </w:p>
    <w:p>
      <w:pPr>
        <w:pStyle w:val="Normal"/>
        <w:rPr>
          <w:sz w:val="26"/>
        </w:rPr>
      </w:pPr>
      <w:r>
        <w:rPr>
          <w:sz w:val="26"/>
        </w:rPr>
        <w:t>Thomas M. Hannigan, Director</w:t>
      </w:r>
    </w:p>
    <w:p>
      <w:pPr>
        <w:pStyle w:val="Normal"/>
        <w:rPr>
          <w:sz w:val="26"/>
        </w:rPr>
      </w:pPr>
      <w:r>
        <w:rPr>
          <w:sz w:val="26"/>
        </w:rPr>
        <w:t>Department of Water Resources</w:t>
      </w:r>
    </w:p>
    <w:p>
      <w:pPr>
        <w:pStyle w:val="Normal"/>
        <w:rPr>
          <w:sz w:val="26"/>
        </w:rPr>
      </w:pPr>
      <w:r>
        <w:rPr>
          <w:sz w:val="26"/>
        </w:rPr>
        <w:t>PO Box 942836</w:t>
      </w:r>
    </w:p>
    <w:p>
      <w:pPr>
        <w:pStyle w:val="Normal"/>
        <w:rPr>
          <w:sz w:val="26"/>
        </w:rPr>
      </w:pPr>
      <w:r>
        <w:rPr>
          <w:sz w:val="26"/>
        </w:rPr>
        <w:t>Sacramento, CA 94236-0001</w:t>
      </w:r>
    </w:p>
    <w:p>
      <w:pPr>
        <w:pStyle w:val="Normal"/>
        <w:rPr>
          <w:sz w:val="26"/>
        </w:rPr>
      </w:pPr>
      <w:r>
        <w:rPr>
          <w:sz w:val="26"/>
        </w:rPr>
      </w:r>
    </w:p>
    <w:p>
      <w:pPr>
        <w:pStyle w:val="BodyText"/>
        <w:rPr/>
      </w:pPr>
      <w:r>
        <w:rPr/>
        <w:t>Dear Mr. Hannigan:</w:t>
      </w:r>
    </w:p>
    <w:p>
      <w:pPr>
        <w:pStyle w:val="Normal"/>
        <w:rPr>
          <w:sz w:val="26"/>
        </w:rPr>
      </w:pPr>
      <w:r>
        <w:rPr>
          <w:sz w:val="26"/>
        </w:rPr>
      </w:r>
    </w:p>
    <w:p>
      <w:pPr>
        <w:pStyle w:val="Normal"/>
        <w:rPr>
          <w:sz w:val="26"/>
        </w:rPr>
      </w:pPr>
      <w:r>
        <w:rPr>
          <w:sz w:val="26"/>
        </w:rPr>
        <w:t>On June 18, 2001 I sent you a letter (attached) requesting a breakdown of DWR’s May 2, 2001 revenue requirement by the six categories specified in Water Code Section 80134.  That letter requested a response by June 21.  Since then, my staff has discussed the matter with your staff and determined that we need further information.  Therefore, I now request that you respond to both the earlier request and the questions below by Thursday, June 28, 2001.  The purpose of this information is to allow the PUC to adopt a decision to provide DWR with its requested revenue requirement, after appropriate review by the PUC and the public.</w:t>
      </w:r>
    </w:p>
    <w:p>
      <w:pPr>
        <w:pStyle w:val="Normal"/>
        <w:rPr>
          <w:sz w:val="26"/>
        </w:rPr>
      </w:pPr>
      <w:r>
        <w:rPr>
          <w:sz w:val="26"/>
        </w:rPr>
      </w:r>
    </w:p>
    <w:p>
      <w:pPr>
        <w:pStyle w:val="Normal"/>
        <w:rPr>
          <w:sz w:val="26"/>
        </w:rPr>
      </w:pPr>
      <w:r>
        <w:rPr>
          <w:sz w:val="26"/>
        </w:rPr>
        <w:t>Please provide the following information in an Excel table for the period of February 1, 2001 to June 30, 2002:</w:t>
      </w:r>
    </w:p>
    <w:p>
      <w:pPr>
        <w:pStyle w:val="Normal"/>
        <w:rPr>
          <w:sz w:val="26"/>
        </w:rPr>
      </w:pPr>
      <w:r>
        <w:rPr>
          <w:sz w:val="26"/>
        </w:rPr>
      </w:r>
    </w:p>
    <w:p>
      <w:pPr>
        <w:pStyle w:val="Normal"/>
        <w:numPr>
          <w:ilvl w:val="0"/>
          <w:numId w:val="6"/>
        </w:numPr>
        <w:rPr>
          <w:sz w:val="26"/>
        </w:rPr>
      </w:pPr>
      <w:r>
        <w:rPr>
          <w:sz w:val="26"/>
        </w:rPr>
        <w:t>The exact DWR revenue requirement sought at this time, monthly by utility. Please indicate if this is the same or different from the May 2 revenue requirement.</w:t>
      </w:r>
    </w:p>
    <w:p>
      <w:pPr>
        <w:pStyle w:val="Normal"/>
        <w:rPr>
          <w:sz w:val="26"/>
        </w:rPr>
      </w:pPr>
      <w:r>
        <w:rPr>
          <w:sz w:val="26"/>
        </w:rPr>
      </w:r>
    </w:p>
    <w:p>
      <w:pPr>
        <w:pStyle w:val="BodyTextIndent3"/>
        <w:rPr/>
      </w:pPr>
      <w:r>
        <w:rPr/>
        <w:t xml:space="preserve">2.  A monthly breakdown of the current DWR revenue requirement, by utility, by each of the specified categories in the proposed rate agreement (bond expenses and operating expenses) and subcategories (i.e., 14 subcategories of operating expenses) as well as the 6 categories in Water Code Section 80134. </w:t>
      </w:r>
    </w:p>
    <w:p>
      <w:pPr>
        <w:pStyle w:val="Normal"/>
        <w:rPr>
          <w:sz w:val="26"/>
        </w:rPr>
      </w:pPr>
      <w:r>
        <w:rPr>
          <w:sz w:val="26"/>
        </w:rPr>
      </w:r>
    </w:p>
    <w:p>
      <w:pPr>
        <w:pStyle w:val="Normal"/>
        <w:rPr>
          <w:sz w:val="26"/>
        </w:rPr>
      </w:pPr>
      <w:r>
        <w:rPr>
          <w:sz w:val="26"/>
        </w:rPr>
      </w:r>
    </w:p>
    <w:p>
      <w:pPr>
        <w:sectPr>
          <w:headerReference w:type="default" r:id="rId12"/>
          <w:headerReference w:type="first" r:id="rId13"/>
          <w:footerReference w:type="default" r:id="rId14"/>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rPr>
          <w:sz w:val="26"/>
        </w:rPr>
      </w:pPr>
      <w:r>
        <w:rPr>
          <w:sz w:val="26"/>
        </w:rPr>
      </w:r>
    </w:p>
    <w:p>
      <w:pPr>
        <w:pStyle w:val="Normal"/>
        <w:rPr>
          <w:sz w:val="26"/>
        </w:rPr>
      </w:pPr>
      <w:r>
        <w:rPr>
          <w:sz w:val="26"/>
        </w:rPr>
      </w:r>
    </w:p>
    <w:p>
      <w:pPr>
        <w:pStyle w:val="Normal"/>
        <w:rPr>
          <w:sz w:val="26"/>
        </w:rPr>
      </w:pPr>
      <w:r>
        <w:rPr>
          <w:sz w:val="26"/>
        </w:rPr>
        <w:t xml:space="preserve">These 6 categories are:  </w:t>
      </w:r>
    </w:p>
    <w:p>
      <w:pPr>
        <w:pStyle w:val="Normal"/>
        <w:rPr>
          <w:sz w:val="26"/>
        </w:rPr>
      </w:pPr>
      <w:r>
        <w:rPr>
          <w:sz w:val="26"/>
        </w:rPr>
      </w:r>
    </w:p>
    <w:p>
      <w:pPr>
        <w:pStyle w:val="Normal"/>
        <w:numPr>
          <w:ilvl w:val="0"/>
          <w:numId w:val="9"/>
        </w:numPr>
        <w:rPr>
          <w:sz w:val="26"/>
        </w:rPr>
      </w:pPr>
      <w:r>
        <w:rPr>
          <w:sz w:val="26"/>
        </w:rPr>
        <w:t xml:space="preserve">Operating Expenses, including fuel type and fuel-price, associated kWh, and transmission and scheduling </w:t>
      </w:r>
    </w:p>
    <w:p>
      <w:pPr>
        <w:pStyle w:val="Normal"/>
        <w:numPr>
          <w:ilvl w:val="0"/>
          <w:numId w:val="9"/>
        </w:numPr>
        <w:rPr>
          <w:sz w:val="26"/>
        </w:rPr>
      </w:pPr>
      <w:r>
        <w:rPr>
          <w:sz w:val="26"/>
        </w:rPr>
        <w:t>Demand-Side Management, Renewables, and Conservation Programs including associated kWh</w:t>
      </w:r>
    </w:p>
    <w:p>
      <w:pPr>
        <w:pStyle w:val="Normal"/>
        <w:numPr>
          <w:ilvl w:val="0"/>
          <w:numId w:val="9"/>
        </w:numPr>
        <w:rPr>
          <w:sz w:val="26"/>
        </w:rPr>
      </w:pPr>
      <w:r>
        <w:rPr>
          <w:sz w:val="26"/>
        </w:rPr>
        <w:t>Administrative Costs</w:t>
      </w:r>
    </w:p>
    <w:p>
      <w:pPr>
        <w:pStyle w:val="Normal"/>
        <w:numPr>
          <w:ilvl w:val="0"/>
          <w:numId w:val="9"/>
        </w:numPr>
        <w:rPr>
          <w:sz w:val="26"/>
        </w:rPr>
      </w:pPr>
      <w:r>
        <w:rPr>
          <w:sz w:val="26"/>
        </w:rPr>
        <w:t>Bond Related Costs, including principle, premium and interest amounts</w:t>
      </w:r>
    </w:p>
    <w:p>
      <w:pPr>
        <w:pStyle w:val="Normal"/>
        <w:numPr>
          <w:ilvl w:val="0"/>
          <w:numId w:val="9"/>
        </w:numPr>
        <w:rPr>
          <w:sz w:val="26"/>
        </w:rPr>
      </w:pPr>
      <w:r>
        <w:rPr>
          <w:sz w:val="26"/>
        </w:rPr>
        <w:t>Reserves</w:t>
      </w:r>
    </w:p>
    <w:p>
      <w:pPr>
        <w:pStyle w:val="Normal"/>
        <w:numPr>
          <w:ilvl w:val="0"/>
          <w:numId w:val="9"/>
        </w:numPr>
        <w:rPr>
          <w:sz w:val="26"/>
        </w:rPr>
      </w:pPr>
      <w:r>
        <w:rPr>
          <w:sz w:val="26"/>
        </w:rPr>
        <w:t>Pooled Money investment rate on funds advanced</w:t>
      </w:r>
    </w:p>
    <w:p>
      <w:pPr>
        <w:pStyle w:val="Normal"/>
        <w:rPr>
          <w:sz w:val="26"/>
        </w:rPr>
      </w:pPr>
      <w:r>
        <w:rPr>
          <w:sz w:val="26"/>
        </w:rPr>
      </w:r>
    </w:p>
    <w:p>
      <w:pPr>
        <w:pStyle w:val="Normal"/>
        <w:rPr>
          <w:sz w:val="26"/>
        </w:rPr>
      </w:pPr>
      <w:r>
        <w:rPr>
          <w:sz w:val="26"/>
        </w:rPr>
        <w:t>3.  A listing and dollar level, by utility, of the costs included in the utility's costs that are to be picked up by DWR in its current revenue requirement.  This should include Ancillary Service Costs, defined as:</w:t>
      </w:r>
    </w:p>
    <w:p>
      <w:pPr>
        <w:pStyle w:val="Normal"/>
        <w:rPr>
          <w:sz w:val="26"/>
        </w:rPr>
      </w:pPr>
      <w:r>
        <w:rPr>
          <w:sz w:val="26"/>
        </w:rPr>
      </w:r>
    </w:p>
    <w:p>
      <w:pPr>
        <w:pStyle w:val="Normal"/>
        <w:rPr>
          <w:sz w:val="26"/>
        </w:rPr>
      </w:pPr>
      <w:r>
        <w:rPr>
          <w:sz w:val="26"/>
        </w:rPr>
        <w:t>a)  Ancillary Services associated with spin, non-spin, regulation and reserves;</w:t>
      </w:r>
    </w:p>
    <w:p>
      <w:pPr>
        <w:pStyle w:val="Normal"/>
        <w:rPr>
          <w:sz w:val="26"/>
        </w:rPr>
      </w:pPr>
      <w:r>
        <w:rPr>
          <w:sz w:val="26"/>
        </w:rPr>
        <w:t xml:space="preserve">b)  Congestion </w:t>
      </w:r>
    </w:p>
    <w:p>
      <w:pPr>
        <w:pStyle w:val="Normal"/>
        <w:rPr>
          <w:sz w:val="26"/>
        </w:rPr>
      </w:pPr>
      <w:r>
        <w:rPr>
          <w:sz w:val="26"/>
        </w:rPr>
        <w:t xml:space="preserve">c)  GMC (Grid Management. Charges.) and </w:t>
      </w:r>
    </w:p>
    <w:p>
      <w:pPr>
        <w:pStyle w:val="Normal"/>
        <w:rPr>
          <w:sz w:val="26"/>
        </w:rPr>
      </w:pPr>
      <w:r>
        <w:rPr>
          <w:sz w:val="26"/>
        </w:rPr>
        <w:t>d)  Energy/Imbalances, Real-Time</w:t>
      </w:r>
    </w:p>
    <w:p>
      <w:pPr>
        <w:pStyle w:val="Normal"/>
        <w:rPr>
          <w:sz w:val="26"/>
        </w:rPr>
      </w:pPr>
      <w:r>
        <w:rPr>
          <w:sz w:val="26"/>
        </w:rPr>
      </w:r>
    </w:p>
    <w:p>
      <w:pPr>
        <w:pStyle w:val="Normal"/>
        <w:rPr>
          <w:sz w:val="26"/>
        </w:rPr>
      </w:pPr>
      <w:r>
        <w:rPr>
          <w:sz w:val="26"/>
        </w:rPr>
        <w:t>If there are any other such ISO-related costs, please list and define.  If there are non-ISO costs included in the utility’s costs that are to be picked up by DWR, please list and define (for example, load curtailment costs).  We are also requesting the same information from the utilities.</w:t>
      </w:r>
    </w:p>
    <w:p>
      <w:pPr>
        <w:pStyle w:val="Normal"/>
        <w:rPr>
          <w:sz w:val="26"/>
        </w:rPr>
      </w:pPr>
      <w:r>
        <w:rPr>
          <w:sz w:val="26"/>
        </w:rPr>
      </w:r>
    </w:p>
    <w:p>
      <w:pPr>
        <w:pStyle w:val="Normal"/>
        <w:rPr>
          <w:sz w:val="26"/>
        </w:rPr>
      </w:pPr>
      <w:r>
        <w:rPr>
          <w:sz w:val="26"/>
        </w:rPr>
        <w:t>4.  Total monthly kWh sold and forecasted to be sold by DWR for the period, by utility, and the percentage of the total utility bundled service load that DWR’s share represents.</w:t>
      </w:r>
    </w:p>
    <w:p>
      <w:pPr>
        <w:pStyle w:val="Normal"/>
        <w:rPr>
          <w:sz w:val="26"/>
        </w:rPr>
      </w:pPr>
      <w:r>
        <w:rPr>
          <w:sz w:val="26"/>
        </w:rPr>
      </w:r>
    </w:p>
    <w:p>
      <w:pPr>
        <w:pStyle w:val="BodyTextIndent"/>
        <w:ind w:firstLine="720" w:start="0" w:end="0"/>
        <w:rPr/>
      </w:pPr>
      <w:r>
        <w:rPr/>
        <w:t>In addition to the above information, please provide an explanation of how the current DWR revenue requirement translates into a specific request for revenues currently included in utility rates.  For example, how much of the 3 cent rate increase adopted by the CPUC in D.01-03-082 is required to fulfill the revenue requirement, and what calculations support this request?  Are any revenues required that are not currently in utility rates?  Please explain for PG&amp;E and SCE.</w:t>
      </w:r>
    </w:p>
    <w:p>
      <w:pPr>
        <w:pStyle w:val="BodyTextIndent"/>
        <w:rPr/>
      </w:pPr>
      <w:r>
        <w:rPr/>
      </w:r>
    </w:p>
    <w:p>
      <w:pPr>
        <w:pStyle w:val="BodyTextIndent"/>
        <w:rPr/>
      </w:pPr>
      <w:r>
        <w:rPr/>
      </w:r>
    </w:p>
    <w:p>
      <w:pPr>
        <w:pStyle w:val="BodyTextIndent"/>
        <w:ind w:start="0" w:end="0"/>
        <w:rPr/>
      </w:pPr>
      <w:r>
        <w:rPr/>
        <w:tab/>
        <w:t xml:space="preserve">To the extent DWR believes that any of the information requested herein should be treated as confidential, please submit the information under seal.  Please send copies of the responses and e-mail copies to David Gamson </w:t>
      </w:r>
      <w:hyperlink r:id="rId15">
        <w:r>
          <w:rPr>
            <w:rStyle w:val="Hyperlink"/>
          </w:rPr>
          <w:t>dmg@cpuc.ca.gov</w:t>
        </w:r>
      </w:hyperlink>
      <w:r>
        <w:rPr/>
        <w:t xml:space="preserve"> in my office, and Administrative Law Judge Thomas Pulsifer </w:t>
      </w:r>
      <w:hyperlink r:id="rId16">
        <w:r>
          <w:rPr>
            <w:rStyle w:val="Hyperlink"/>
          </w:rPr>
          <w:t>trp@cpuc.ca.gov</w:t>
        </w:r>
      </w:hyperlink>
      <w:r>
        <w:rPr/>
        <w:t xml:space="preserve"> at the PUC, Room 5005.</w:t>
      </w:r>
    </w:p>
    <w:p>
      <w:pPr>
        <w:pStyle w:val="BodyTextIndent"/>
        <w:ind w:start="0" w:end="0"/>
        <w:rPr/>
      </w:pPr>
      <w:r>
        <w:rPr/>
      </w:r>
    </w:p>
    <w:p>
      <w:pPr>
        <w:pStyle w:val="BodyTextIndent"/>
        <w:ind w:start="0" w:end="0"/>
        <w:rPr/>
      </w:pPr>
      <w:r>
        <w:rPr/>
        <w:t>If you have any questions, please call me at (415) 703-1407 or my advisor David Gamson at (415) 703-1997.  Thank you for your assistance.</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Sincerely,</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Geoffrey F. Brown</w:t>
      </w:r>
    </w:p>
    <w:p>
      <w:pPr>
        <w:pStyle w:val="Normal"/>
        <w:rPr>
          <w:sz w:val="26"/>
        </w:rPr>
      </w:pPr>
      <w:r>
        <w:rPr>
          <w:sz w:val="26"/>
        </w:rPr>
        <w:t>Commissioner</w:t>
      </w:r>
    </w:p>
    <w:p>
      <w:pPr>
        <w:pStyle w:val="Normal"/>
        <w:rPr>
          <w:sz w:val="26"/>
        </w:rPr>
      </w:pPr>
      <w:r>
        <w:rPr>
          <w:sz w:val="26"/>
        </w:rPr>
      </w:r>
    </w:p>
    <w:p>
      <w:pPr>
        <w:pStyle w:val="Normal"/>
        <w:rPr>
          <w:sz w:val="26"/>
        </w:rPr>
      </w:pPr>
      <w:r>
        <w:rPr>
          <w:sz w:val="26"/>
        </w:rPr>
      </w:r>
    </w:p>
    <w:p>
      <w:pPr>
        <w:pStyle w:val="Normal"/>
        <w:rPr>
          <w:sz w:val="26"/>
        </w:rPr>
      </w:pPr>
      <w:r>
        <w:rPr>
          <w:sz w:val="26"/>
        </w:rPr>
        <w:t>Attachment</w:t>
      </w:r>
    </w:p>
    <w:p>
      <w:pPr>
        <w:pStyle w:val="Normal"/>
        <w:rPr>
          <w:sz w:val="26"/>
        </w:rPr>
      </w:pPr>
      <w:r>
        <w:rPr>
          <w:sz w:val="26"/>
        </w:rPr>
      </w:r>
    </w:p>
    <w:p>
      <w:pPr>
        <w:pStyle w:val="main"/>
        <w:rPr>
          <w:rFonts w:ascii="Times New Roman" w:hAnsi="Times New Roman" w:cs="Times New Roman"/>
          <w:sz w:val="26"/>
        </w:rPr>
      </w:pPr>
      <w:r>
        <w:rPr>
          <w:rFonts w:cs="Times New Roman" w:ascii="Times New Roman" w:hAnsi="Times New Roman"/>
          <w:sz w:val="26"/>
        </w:rPr>
      </w:r>
    </w:p>
    <w:p>
      <w:pPr>
        <w:pStyle w:val="main"/>
        <w:rPr>
          <w:rFonts w:ascii="Times New Roman" w:hAnsi="Times New Roman" w:cs="Times New Roman"/>
        </w:rPr>
      </w:pPr>
      <w:r>
        <w:rPr>
          <w:rFonts w:cs="Times New Roman" w:ascii="Times New Roman" w:hAnsi="Times New Roman"/>
        </w:rPr>
      </w:r>
    </w:p>
    <w:p>
      <w:pPr>
        <w:pStyle w:val="main"/>
        <w:rPr>
          <w:rFonts w:ascii="Times New Roman" w:hAnsi="Times New Roman" w:cs="Times New Roman"/>
        </w:rPr>
      </w:pPr>
      <w:r>
        <w:rPr>
          <w:rFonts w:cs="Times New Roman" w:ascii="Times New Roman" w:hAnsi="Times New Roman"/>
        </w:rPr>
      </w:r>
    </w:p>
    <w:p>
      <w:pPr>
        <w:pStyle w:val="main"/>
        <w:rPr>
          <w:rFonts w:ascii="Times New Roman" w:hAnsi="Times New Roman" w:cs="Times New Roman"/>
        </w:rPr>
      </w:pPr>
      <w:r>
        <w:rPr>
          <w:rFonts w:cs="Times New Roman" w:ascii="Times New Roman" w:hAnsi="Times New Roman"/>
        </w:rPr>
      </w:r>
    </w:p>
    <w:p>
      <w:pPr>
        <w:pStyle w:val="main"/>
        <w:rPr>
          <w:rFonts w:ascii="Times New Roman" w:hAnsi="Times New Roman" w:cs="Times New Roman"/>
        </w:rPr>
      </w:pPr>
      <w:r>
        <w:rPr>
          <w:rFonts w:cs="Times New Roman" w:ascii="Times New Roman" w:hAnsi="Times New Roman"/>
        </w:rPr>
      </w:r>
    </w:p>
    <w:p>
      <w:pPr>
        <w:pStyle w:val="main"/>
        <w:rPr>
          <w:rFonts w:ascii="Times New Roman" w:hAnsi="Times New Roman" w:cs="Times New Roman"/>
        </w:rPr>
      </w:pPr>
      <w:r>
        <w:rPr>
          <w:rFonts w:cs="Times New Roman" w:ascii="Times New Roman" w:hAnsi="Times New Roman"/>
        </w:rPr>
      </w:r>
    </w:p>
    <w:p>
      <w:pPr>
        <w:pStyle w:val="main"/>
        <w:rPr>
          <w:rFonts w:ascii="Times New Roman" w:hAnsi="Times New Roman" w:cs="Times New Roman"/>
        </w:rPr>
      </w:pPr>
      <w:r>
        <w:rPr>
          <w:rFonts w:cs="Times New Roman" w:ascii="Times New Roman" w:hAnsi="Times New Roman"/>
        </w:rPr>
      </w:r>
    </w:p>
    <w:p>
      <w:pPr>
        <w:pStyle w:val="main"/>
        <w:rPr>
          <w:rFonts w:ascii="Times New Roman" w:hAnsi="Times New Roman" w:cs="Times New Roman"/>
        </w:rPr>
      </w:pPr>
      <w:r>
        <w:rPr>
          <w:rFonts w:cs="Times New Roman" w:ascii="Times New Roman" w:hAnsi="Times New Roman"/>
        </w:rPr>
      </w:r>
    </w:p>
    <w:p>
      <w:pPr>
        <w:sectPr>
          <w:headerReference w:type="default" r:id="rId17"/>
          <w:headerReference w:type="first" r:id="rId18"/>
          <w:footerReference w:type="default" r:id="rId19"/>
          <w:footerReference w:type="first" r:id="rId20"/>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main"/>
        <w:rPr>
          <w:rFonts w:ascii="Times New Roman" w:hAnsi="Times New Roman" w:cs="Times New Roman"/>
        </w:rPr>
      </w:pPr>
      <w:r>
        <w:rPr>
          <w:rFonts w:cs="Times New Roman" w:ascii="Times New Roman" w:hAnsi="Times New Roman"/>
        </w:rPr>
        <w:t>(END OF APPENDIX C)</w:t>
      </w:r>
    </w:p>
    <w:p>
      <w:pPr>
        <w:pStyle w:val="standard"/>
        <w:spacing w:lineRule="auto" w:line="240"/>
        <w:ind w:hanging="0" w:end="0"/>
        <w:jc w:val="center"/>
        <w:rPr>
          <w:b/>
        </w:rPr>
      </w:pPr>
      <w:r>
        <w:rPr>
          <w:b/>
        </w:rPr>
        <w:t>APPENDIX D</w:t>
      </w:r>
    </w:p>
    <w:p>
      <w:pPr>
        <w:pStyle w:val="standard"/>
        <w:spacing w:lineRule="auto" w:line="240"/>
        <w:rPr>
          <w:b/>
        </w:rPr>
      </w:pPr>
      <w:r>
        <w:rPr>
          <w:b/>
        </w:rPr>
      </w:r>
    </w:p>
    <w:p>
      <w:pPr>
        <w:pStyle w:val="standard"/>
        <w:spacing w:lineRule="auto" w:line="240"/>
        <w:rPr/>
      </w:pPr>
      <w:r>
        <w:rPr/>
        <w:t>July 2, 2001 Memorandum from DWR, Department of Finance, and State Treasurer’s Office to President Loretta Lynch.</w:t>
      </w:r>
    </w:p>
    <w:p>
      <w:pPr>
        <w:pStyle w:val="standard"/>
        <w:spacing w:lineRule="auto" w:line="240"/>
        <w:rPr/>
      </w:pPr>
      <w:r>
        <w:rPr/>
      </w:r>
    </w:p>
    <w:p>
      <w:pPr>
        <w:pStyle w:val="standard"/>
        <w:spacing w:lineRule="auto" w:line="240"/>
        <w:rPr/>
      </w:pPr>
      <w:r>
        <w:rPr/>
        <w:t>(See Formal file for copy.)</w:t>
      </w:r>
    </w:p>
    <w:p>
      <w:pPr>
        <w:pStyle w:val="standard"/>
        <w:spacing w:lineRule="auto" w:line="240"/>
        <w:rPr/>
      </w:pPr>
      <w:r>
        <w:rPr/>
      </w:r>
    </w:p>
    <w:p>
      <w:pPr>
        <w:pStyle w:val="standard"/>
        <w:spacing w:lineRule="auto" w:line="240"/>
        <w:rPr/>
      </w:pPr>
      <w:r>
        <w:rPr/>
      </w:r>
    </w:p>
    <w:p>
      <w:pPr>
        <w:pStyle w:val="standard"/>
        <w:spacing w:lineRule="auto" w:line="240"/>
        <w:rPr/>
      </w:pPr>
      <w:r>
        <w:rPr/>
      </w:r>
    </w:p>
    <w:p>
      <w:pPr>
        <w:pStyle w:val="standard"/>
        <w:spacing w:lineRule="auto" w:line="240"/>
        <w:rPr/>
      </w:pPr>
      <w:r>
        <w:rPr/>
      </w:r>
    </w:p>
    <w:p>
      <w:pPr>
        <w:pStyle w:val="standard"/>
        <w:spacing w:lineRule="auto" w:line="240"/>
        <w:rPr/>
      </w:pPr>
      <w:r>
        <w:rPr/>
      </w:r>
    </w:p>
    <w:p>
      <w:pPr>
        <w:pStyle w:val="standard"/>
        <w:spacing w:lineRule="auto" w:line="240"/>
        <w:rPr/>
      </w:pPr>
      <w:r>
        <w:rPr/>
      </w:r>
    </w:p>
    <w:p>
      <w:pPr>
        <w:pStyle w:val="standard"/>
        <w:spacing w:lineRule="auto" w:line="240"/>
        <w:rPr/>
      </w:pPr>
      <w:r>
        <w:rPr/>
      </w:r>
    </w:p>
    <w:p>
      <w:pPr>
        <w:sectPr>
          <w:headerReference w:type="default" r:id="rId21"/>
          <w:headerReference w:type="first" r:id="rId22"/>
          <w:footerReference w:type="default" r:id="rId23"/>
          <w:footerReference w:type="first" r:id="rId24"/>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standard"/>
        <w:spacing w:lineRule="auto" w:line="240"/>
        <w:rPr/>
      </w:pPr>
      <w:r>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Joint Assigned Commissioners’ Ruling Soliciting Comments on Department of Water Resources Submittal on all parties of record in this proceeding or their attorneys of record.</w:t>
      </w:r>
    </w:p>
    <w:p>
      <w:pPr>
        <w:pStyle w:val="standard"/>
        <w:rPr/>
      </w:pPr>
      <w:r>
        <w:rPr/>
        <w:t>Dated July 24, 2001, at San Francisco, California.</w:t>
      </w:r>
    </w:p>
    <w:p>
      <w:pPr>
        <w:pStyle w:val="Normal"/>
        <w:rPr/>
      </w:pPr>
      <w:r>
        <w:rPr/>
      </w:r>
    </w:p>
    <w:p>
      <w:pPr>
        <w:pStyle w:val="Normal"/>
        <w:rPr>
          <w:sz w:val="24"/>
        </w:rPr>
      </w:pPr>
      <w:r>
        <w:rPr>
          <w:sz w:val="24"/>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 xml:space="preserve">            </w:t>
            </w:r>
            <w:r>
              <w:rPr/>
              <w:t>/s/     FANNIE SID</w:t>
            </w:r>
          </w:p>
        </w:tc>
      </w:tr>
      <w:tr>
        <w:trPr/>
        <w:tc>
          <w:tcPr>
            <w:tcW w:w="3420" w:type="dxa"/>
            <w:tcBorders/>
          </w:tcPr>
          <w:p>
            <w:pPr>
              <w:pStyle w:val="Heading4"/>
              <w:ind w:hanging="0" w:start="0"/>
              <w:rPr/>
            </w:pPr>
            <w:r>
              <w:rPr/>
              <w:t>Fannie Sid</w:t>
            </w:r>
          </w:p>
        </w:tc>
      </w:tr>
    </w:tbl>
    <w:p>
      <w:pPr>
        <w:pStyle w:val="Normal"/>
        <w:rPr/>
      </w:pPr>
      <w:r>
        <w:rPr/>
      </w:r>
    </w:p>
    <w:p>
      <w:pPr>
        <w:pStyle w:val="FootnoteText"/>
        <w:spacing w:lineRule="auto" w:line="360"/>
        <w:rPr/>
      </w:pPr>
      <w:r>
        <w:rPr/>
      </w:r>
    </w:p>
    <w:p>
      <w:pPr>
        <w:pStyle w:val="Footer"/>
        <w:tabs>
          <w:tab w:val="clear" w:pos="4320"/>
          <w:tab w:val="clear" w:pos="8640"/>
        </w:tabs>
        <w:jc w:val="center"/>
        <w:rPr>
          <w:b/>
          <w:sz w:val="24"/>
        </w:rPr>
      </w:pPr>
      <w:r>
        <w:rPr>
          <w:b/>
          <w:sz w:val="24"/>
        </w:rPr>
        <w:t>N O T I C E</w:t>
      </w:r>
    </w:p>
    <w:p>
      <w:pPr>
        <w:pStyle w:val="Normal"/>
        <w:rPr>
          <w:b/>
          <w:sz w:val="24"/>
        </w:rPr>
      </w:pPr>
      <w:r>
        <w:rPr>
          <w:b/>
          <w:sz w:val="24"/>
        </w:rPr>
      </w:r>
    </w:p>
    <w:p>
      <w:pPr>
        <w:pStyle w:val="Normal"/>
        <w:tabs>
          <w:tab w:val="clear" w:pos="720"/>
          <w:tab w:val="left" w:pos="0" w:leader="none"/>
        </w:tabs>
        <w:ind w:start="1440" w:end="1440"/>
        <w:rPr>
          <w:sz w:val="24"/>
        </w:rPr>
      </w:pPr>
      <w:r>
        <w:rPr>
          <w:sz w:val="24"/>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xml:space="preserve">* * * * * * * * * * * * * * * * * * * * * * * * * * * * * * * * </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 or TTY# 1-866-836-7825 or (415) 703-5282 at least three working days in advance of the event.</w:t>
      </w:r>
    </w:p>
    <w:p>
      <w:pPr>
        <w:pStyle w:val="Normal"/>
        <w:rPr>
          <w:sz w:val="24"/>
        </w:rPr>
      </w:pPr>
      <w:r>
        <w:rPr>
          <w:sz w:val="24"/>
        </w:rPr>
      </w:r>
    </w:p>
    <w:sectPr>
      <w:headerReference w:type="default" r:id="rId25"/>
      <w:headerReference w:type="first" r:id="rId26"/>
      <w:footerReference w:type="default" r:id="rId27"/>
      <w:footerReference w:type="first" r:id="rId28"/>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Helvetica">
    <w:altName w:val="Arial"/>
    <w:charset w:val="00" w:characterSet="windows-1252"/>
    <w:family w:val="swiss"/>
    <w:pitch w:val="variable"/>
  </w:font>
  <w:font w:name="Book Antiqua">
    <w:charset w:val="00" w:characterSet="windows-1252"/>
    <w:family w:val="roman"/>
    <w:pitch w:val="variable"/>
  </w:font>
  <w:font w:name="Tahoma">
    <w:charset w:val="00" w:characterSet="windows-1252"/>
    <w:family w:val="swiss"/>
    <w:pitch w:val="variable"/>
  </w:font>
  <w:font w:name="NewCenturySchlbk">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4"/>
        </w:rPr>
        <w:t>A separate ruling will be issued in A.00-10-045 and A.01-01-044, regarding the filing of comments relating to SDG&amp;E</w:t>
      </w:r>
      <w:r>
        <w:rPr/>
        <w:t>.</w:t>
      </w:r>
    </w:p>
  </w:footnote>
  <w:footnote w:id="3">
    <w:p>
      <w:pPr>
        <w:pStyle w:val="FootnoteText"/>
        <w:rPr/>
      </w:pPr>
      <w:r>
        <w:rPr>
          <w:rStyle w:val="FootnoteCharacters"/>
        </w:rPr>
        <w:footnoteRef/>
      </w:r>
      <w:r>
        <w:rPr/>
        <w:t xml:space="preserve">  </w:t>
      </w:r>
      <w:r>
        <w:rPr>
          <w:sz w:val="22"/>
        </w:rPr>
        <w:t>As stated in the ALJ ruling of July 12, 2001, evidentiary hearings on URG-related issues are being conducted on a separate schedule from this phase of the proceeding for determination of a DWR revenue requirement and rate allocation.  The written comments solicited from parties here are not intended to prejudge any of the issues being addressed in URG evidentiary hearings, but are merely intended to provide for coordination to the extent that common underlying input assumptions may have relevance both for URG and DWR revenue requirement purposes.  Accordingly, any comments filed by parties on this issue should be limited accordingly.</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LYN/GFB/TRP/sid                -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LYN/GFB/TRP/sid</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LYN/GFB/TRP/sid</w:t>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LYN/GFB/TRP/sid</w:t>
    </w:r>
  </w:p>
  <w:p>
    <w:pPr>
      <w:pStyle w:val="Header"/>
      <w:rPr/>
    </w:pPr>
    <w:r>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LYN/GFB/TRP/sid </w:t>
    </w:r>
  </w:p>
  <w:p>
    <w:pPr>
      <w:pStyle w:val="Header"/>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15"/>
        </w:tabs>
        <w:ind w:start="1815" w:hanging="375"/>
      </w:pPr>
      <w:rPr/>
    </w:lvl>
  </w:abstractNum>
  <w:abstractNum w:abstractNumId="3">
    <w:lvl w:ilvl="0">
      <w:start w:val="14"/>
      <w:numFmt w:val="bullet"/>
      <w:lvlText w:val="-"/>
      <w:lvlJc w:val="start"/>
      <w:pPr>
        <w:tabs>
          <w:tab w:val="num" w:pos="480"/>
        </w:tabs>
        <w:ind w:start="480" w:hanging="360"/>
      </w:pPr>
      <w:rPr>
        <w:rFonts w:ascii="Times New Roman" w:hAnsi="Times New Roman" w:cs="Times New Roman" w:hint="default"/>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2"/>
      <w:numFmt w:val="decimal"/>
      <w:lvlText w:val="%1."/>
      <w:lvlJc w:val="start"/>
      <w:pPr>
        <w:tabs>
          <w:tab w:val="num" w:pos="360"/>
        </w:tabs>
        <w:ind w:start="360" w:hanging="360"/>
      </w:pPr>
      <w:rPr>
        <w:b w:val="false"/>
      </w:rPr>
    </w:lvl>
  </w:abstractNum>
  <w:abstractNum w:abstractNumId="11">
    <w:lvl w:ilvl="0">
      <w:start w:val="1"/>
      <w:numFmt w:val="bullet"/>
      <w:lvlText w:val=""/>
      <w:lvlJc w:val="start"/>
      <w:pPr>
        <w:tabs>
          <w:tab w:val="num" w:pos="1860"/>
        </w:tabs>
        <w:ind w:start="1860" w:hanging="360"/>
      </w:pPr>
      <w:rPr>
        <w:rFonts w:ascii="Symbol" w:hAnsi="Symbol" w:cs="Symbol" w:hint="default"/>
      </w:rPr>
    </w:lvl>
    <w:lvl w:ilvl="1">
      <w:start w:val="1"/>
      <w:numFmt w:val="bullet"/>
      <w:lvlText w:val="o"/>
      <w:lvlJc w:val="start"/>
      <w:pPr>
        <w:tabs>
          <w:tab w:val="num" w:pos="2580"/>
        </w:tabs>
        <w:ind w:start="2580" w:hanging="360"/>
      </w:pPr>
      <w:rPr>
        <w:rFonts w:ascii="Courier New" w:hAnsi="Courier New" w:cs="Courier New" w:hint="default"/>
      </w:rPr>
    </w:lvl>
    <w:lvl w:ilvl="2">
      <w:start w:val="1"/>
      <w:numFmt w:val="bullet"/>
      <w:lvlText w:val=""/>
      <w:lvlJc w:val="start"/>
      <w:pPr>
        <w:tabs>
          <w:tab w:val="num" w:pos="3300"/>
        </w:tabs>
        <w:ind w:start="3300" w:hanging="360"/>
      </w:pPr>
      <w:rPr>
        <w:rFonts w:ascii="Wingdings" w:hAnsi="Wingdings" w:cs="Wingdings" w:hint="default"/>
      </w:rPr>
    </w:lvl>
    <w:lvl w:ilvl="3">
      <w:start w:val="1"/>
      <w:numFmt w:val="bullet"/>
      <w:lvlText w:val=""/>
      <w:lvlJc w:val="start"/>
      <w:pPr>
        <w:tabs>
          <w:tab w:val="num" w:pos="4020"/>
        </w:tabs>
        <w:ind w:start="4020" w:hanging="360"/>
      </w:pPr>
      <w:rPr>
        <w:rFonts w:ascii="Symbol" w:hAnsi="Symbol" w:cs="Symbol" w:hint="default"/>
      </w:rPr>
    </w:lvl>
    <w:lvl w:ilvl="4">
      <w:start w:val="1"/>
      <w:numFmt w:val="bullet"/>
      <w:lvlText w:val="o"/>
      <w:lvlJc w:val="start"/>
      <w:pPr>
        <w:tabs>
          <w:tab w:val="num" w:pos="4740"/>
        </w:tabs>
        <w:ind w:start="4740" w:hanging="360"/>
      </w:pPr>
      <w:rPr>
        <w:rFonts w:ascii="Courier New" w:hAnsi="Courier New" w:cs="Courier New" w:hint="default"/>
      </w:rPr>
    </w:lvl>
    <w:lvl w:ilvl="5">
      <w:start w:val="1"/>
      <w:numFmt w:val="bullet"/>
      <w:lvlText w:val=""/>
      <w:lvlJc w:val="start"/>
      <w:pPr>
        <w:tabs>
          <w:tab w:val="num" w:pos="5460"/>
        </w:tabs>
        <w:ind w:start="5460" w:hanging="360"/>
      </w:pPr>
      <w:rPr>
        <w:rFonts w:ascii="Wingdings" w:hAnsi="Wingdings" w:cs="Wingdings" w:hint="default"/>
      </w:rPr>
    </w:lvl>
    <w:lvl w:ilvl="6">
      <w:start w:val="1"/>
      <w:numFmt w:val="bullet"/>
      <w:lvlText w:val=""/>
      <w:lvlJc w:val="start"/>
      <w:pPr>
        <w:tabs>
          <w:tab w:val="num" w:pos="6180"/>
        </w:tabs>
        <w:ind w:start="6180" w:hanging="360"/>
      </w:pPr>
      <w:rPr>
        <w:rFonts w:ascii="Symbol" w:hAnsi="Symbol" w:cs="Symbol" w:hint="default"/>
      </w:rPr>
    </w:lvl>
    <w:lvl w:ilvl="7">
      <w:start w:val="1"/>
      <w:numFmt w:val="bullet"/>
      <w:lvlText w:val="o"/>
      <w:lvlJc w:val="start"/>
      <w:pPr>
        <w:tabs>
          <w:tab w:val="num" w:pos="6900"/>
        </w:tabs>
        <w:ind w:start="6900" w:hanging="360"/>
      </w:pPr>
      <w:rPr>
        <w:rFonts w:ascii="Courier New" w:hAnsi="Courier New" w:cs="Courier New" w:hint="default"/>
      </w:rPr>
    </w:lvl>
    <w:lvl w:ilvl="8">
      <w:start w:val="1"/>
      <w:numFmt w:val="bullet"/>
      <w:lvlText w:val=""/>
      <w:lvlJc w:val="start"/>
      <w:pPr>
        <w:tabs>
          <w:tab w:val="num" w:pos="7620"/>
        </w:tabs>
        <w:ind w:start="762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4"/>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6"/>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rPr>
  </w:style>
  <w:style w:type="paragraph" w:styleId="Heading2">
    <w:name w:val="heading 2"/>
    <w:basedOn w:val="Normal"/>
    <w:next w:val="Normal"/>
    <w:qFormat/>
    <w:pPr>
      <w:keepNext w:val="true"/>
      <w:numPr>
        <w:ilvl w:val="1"/>
        <w:numId w:val="1"/>
      </w:numPr>
      <w:tabs>
        <w:tab w:val="clear" w:pos="720"/>
        <w:tab w:val="right" w:pos="11070" w:leader="none"/>
      </w:tabs>
      <w:jc w:val="center"/>
      <w:outlineLvl w:val="1"/>
    </w:pPr>
    <w:rPr>
      <w:rFonts w:ascii="Arial" w:hAnsi="Arial" w:cs="Arial"/>
      <w:b/>
      <w:sz w:val="32"/>
      <w:lang w:eastAsia="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lang w:eastAsia="en-US"/>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WW8Num5z0">
    <w:name w:val="WW8Num5z0"/>
    <w:qFormat/>
    <w:rPr>
      <w:b/>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b/>
    </w:rPr>
  </w:style>
  <w:style w:type="character" w:styleId="WW8Num29z0">
    <w:name w:val="WW8Num29z0"/>
    <w:qFormat/>
    <w:rPr>
      <w:b w:val="false"/>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Palatino" w:hAnsi="Palatino" w:cs="Palatino"/>
      <w:b/>
      <w:sz w:val="22"/>
      <w:lang w:eastAsia="en-US"/>
    </w:rPr>
  </w:style>
  <w:style w:type="paragraph" w:styleId="BodyText">
    <w:name w:val="Body Text"/>
    <w:basedOn w:val="Normal"/>
    <w:pPr>
      <w:suppressAutoHyphens w:val="true"/>
      <w:autoSpaceDE w:val="fals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jc w:val="center"/>
    </w:pPr>
    <w:rPr>
      <w:rFonts w:ascii="Helvetica" w:hAnsi="Helvetica" w:cs="Helvetica"/>
      <w:b/>
      <w:sz w:val="26"/>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FootnoteText">
    <w:name w:val="footnote text"/>
    <w:basedOn w:val="Normal"/>
    <w:pPr/>
    <w:rPr/>
  </w:style>
  <w:style w:type="paragraph" w:styleId="BodyTextIndent">
    <w:name w:val="Body Text Indent"/>
    <w:basedOn w:val="Normal"/>
    <w:pPr>
      <w:spacing w:lineRule="auto" w:line="360"/>
      <w:ind w:firstLine="446" w:start="634"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BlockText">
    <w:name w:val="Block Text"/>
    <w:basedOn w:val="Normal"/>
    <w:qFormat/>
    <w:pPr>
      <w:ind w:hanging="0" w:start="720" w:end="1080"/>
      <w:jc w:val="both"/>
    </w:pPr>
    <w:rPr>
      <w:rFonts w:ascii="Arial" w:hAnsi="Arial" w:cs="Arial"/>
      <w:sz w:val="22"/>
      <w:lang w:eastAsia="en-US"/>
    </w:rPr>
  </w:style>
  <w:style w:type="paragraph" w:styleId="BodyTextIndent2">
    <w:name w:val="Body Text Indent 2"/>
    <w:basedOn w:val="Normal"/>
    <w:qFormat/>
    <w:pPr>
      <w:ind w:hanging="0" w:start="1260" w:end="0"/>
    </w:pPr>
    <w:rPr>
      <w:rFonts w:ascii="Book Antiqua" w:hAnsi="Book Antiqua" w:cs="Book Antiqua"/>
      <w:sz w:val="21"/>
      <w:lang w:eastAsia="en-US"/>
    </w:rPr>
  </w:style>
  <w:style w:type="paragraph" w:styleId="BodyTextIndent3">
    <w:name w:val="Body Text Indent 3"/>
    <w:basedOn w:val="Normal"/>
    <w:qFormat/>
    <w:pPr>
      <w:ind w:hanging="360" w:start="720" w:end="0"/>
    </w:pPr>
    <w:rPr>
      <w:sz w:val="26"/>
      <w:lang w:eastAsia="en-US"/>
    </w:rPr>
  </w:style>
  <w:style w:type="paragraph" w:styleId="quote">
    <w:name w:val="quote"/>
    <w:basedOn w:val="standard"/>
    <w:next w:val="standard"/>
    <w:qFormat/>
    <w:pPr>
      <w:spacing w:lineRule="auto" w:line="240" w:before="120" w:after="240"/>
      <w:ind w:hanging="0" w:start="720" w:end="1260"/>
    </w:pPr>
    <w:rPr>
      <w:lang w:eastAsia="en-US"/>
    </w:rPr>
  </w:style>
  <w:style w:type="paragraph" w:styleId="BodyText2">
    <w:name w:val="Body Text 2"/>
    <w:basedOn w:val="Normal"/>
    <w:qFormat/>
    <w:pPr/>
    <w:rPr>
      <w:rFonts w:ascii="Palatino" w:hAnsi="Palatino" w:cs="Palatino"/>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image" Target="media/image9.wmf"/><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hyperlink" Target="mailto:dmg@cpuc.ca.gov" TargetMode="External"/><Relationship Id="rId16" Type="http://schemas.openxmlformats.org/officeDocument/2006/relationships/hyperlink" Target="mailto:trp@cpuc.ca.gov"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4.xml"/><Relationship Id="rId24" Type="http://schemas.openxmlformats.org/officeDocument/2006/relationships/footer" Target="footer5.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6.xml"/><Relationship Id="rId28" Type="http://schemas.openxmlformats.org/officeDocument/2006/relationships/footer" Target="footer7.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2001-07-24T21:50:00Z</dcterms:created>
  <dc:creator>Tom Pulsifer</dc:creator>
  <dc:description/>
  <dc:language>en-CA</dc:language>
  <cp:lastModifiedBy>John S. Wong</cp:lastModifiedBy>
  <cp:lastPrinted>2001-07-24T17:13:00Z</cp:lastPrinted>
  <dcterms:modified xsi:type="dcterms:W3CDTF">2001-07-24T21:50:00Z</dcterms:modified>
  <cp:revision>2</cp:revision>
  <dc:subject/>
  <dc:title>BEFORE THE PUBLIC UTILITIES COMMISSION OF THE STATE OF CALIFORNIA</dc:title>
</cp:coreProperties>
</file>