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MEMORANDUM:</w:t>
      </w:r>
    </w:p>
    <w:p>
      <w:pPr>
        <w:pStyle w:val="Normal"/>
        <w:rPr>
          <w:sz w:val="24"/>
        </w:rPr>
      </w:pPr>
      <w:r>
        <w:rPr>
          <w:sz w:val="24"/>
        </w:rPr>
      </w:r>
    </w:p>
    <w:p>
      <w:pPr>
        <w:pStyle w:val="Normal"/>
        <w:rPr>
          <w:sz w:val="24"/>
        </w:rPr>
      </w:pPr>
      <w:r>
        <w:rPr>
          <w:sz w:val="24"/>
        </w:rPr>
      </w:r>
    </w:p>
    <w:p>
      <w:pPr>
        <w:pStyle w:val="Normal"/>
        <w:rPr>
          <w:sz w:val="24"/>
        </w:rPr>
      </w:pPr>
      <w:r>
        <w:rPr>
          <w:sz w:val="24"/>
        </w:rPr>
        <w:t>TO:</w:t>
        <w:tab/>
        <w:tab/>
        <w:t>Stuart Zisman</w:t>
      </w:r>
    </w:p>
    <w:p>
      <w:pPr>
        <w:pStyle w:val="Normal"/>
        <w:rPr>
          <w:sz w:val="24"/>
        </w:rPr>
      </w:pPr>
      <w:r>
        <w:rPr>
          <w:sz w:val="24"/>
        </w:rPr>
        <w:t>FROM:</w:t>
        <w:tab/>
        <w:t>Joanne Rutkowski</w:t>
      </w:r>
    </w:p>
    <w:p>
      <w:pPr>
        <w:pStyle w:val="Normal"/>
        <w:rPr>
          <w:sz w:val="24"/>
        </w:rPr>
      </w:pPr>
      <w:r>
        <w:rPr>
          <w:sz w:val="24"/>
        </w:rPr>
        <w:t>RE:</w:t>
        <w:tab/>
        <w:tab/>
        <w:t>1935 Act Approvals for Company A</w:t>
      </w:r>
    </w:p>
    <w:p>
      <w:pPr>
        <w:pStyle w:val="Normal"/>
        <w:rPr>
          <w:sz w:val="24"/>
        </w:rPr>
      </w:pPr>
      <w:r>
        <w:rPr>
          <w:sz w:val="24"/>
        </w:rPr>
      </w:r>
    </w:p>
    <w:p>
      <w:pPr>
        <w:pStyle w:val="Normal"/>
        <w:rPr>
          <w:sz w:val="24"/>
        </w:rPr>
      </w:pPr>
      <w:r>
        <w:rPr>
          <w:sz w:val="24"/>
        </w:rPr>
      </w:r>
    </w:p>
    <w:p>
      <w:pPr>
        <w:pStyle w:val="Normal"/>
        <w:rPr>
          <w:sz w:val="24"/>
        </w:rPr>
      </w:pPr>
      <w:r>
        <w:rPr>
          <w:sz w:val="24"/>
        </w:rPr>
        <w:tab/>
        <w:tab/>
        <w:t>Company A, which is a subsidiary of a registered holding company under the Public Utility Holding Company Act of 1935 (the “1935 Act”), will require prior SEC approval for certain financing transactions  (“SEC Approval”).  So long as the SEC Approval is obtained by A in accordance with the requirements of Section 7.9(c) of the Purchase and Sale Agreement, we believe that there is a 99%-plus probability that A will obtain its SEC Approval on or before the close of business on May 30, 2001.  Even in the unlikely event that a third party would intervene in the SEC proceeding and request that the matter would be set for a hearing, the nearly 180 days from the date that A is required to make its SEC Filing (20 days after the date that this deal is signed) until May 30, 2001 provides more than sufficient time for the SEC staff to present the matter to the full Commission for approval and for the SEC to issue an order approving the SEC Filing and denying any requests for hearing.</w:t>
      </w:r>
    </w:p>
    <w:p>
      <w:pPr>
        <w:pStyle w:val="Normal"/>
        <w:rPr>
          <w:sz w:val="24"/>
        </w:rPr>
      </w:pPr>
      <w:r>
        <w:rPr>
          <w:sz w:val="24"/>
        </w:rPr>
      </w:r>
    </w:p>
    <w:p>
      <w:pPr>
        <w:pStyle w:val="Normal"/>
        <w:rPr>
          <w:sz w:val="24"/>
        </w:rPr>
      </w:pPr>
      <w:r>
        <w:rPr>
          <w:sz w:val="24"/>
        </w:rPr>
        <w:tab/>
        <w:tab/>
        <w:t xml:space="preserve"> This high degree of confidence is based upon the nature and scope of the authority to be requested from the SEC.  In this regard, A has covenanted, among other things, to request 1935 Act authorization that is limited to the authority reasonably required for it to consummate the Peakers Transaction consistent with any applicable conditions or restrictions under the 1935 Act and, further, not to seek (either directly or through its affiliates) any modification of any limit on “aggregate investment” pursuant to Rule 53 in connection with the SEC Filing or otherwise take any action that would require the consent or approval of any state commission in connection with the SEC filing.  This latter set of commitments is very important. </w:t>
      </w:r>
    </w:p>
    <w:p>
      <w:pPr>
        <w:pStyle w:val="Normal"/>
        <w:rPr>
          <w:sz w:val="24"/>
        </w:rPr>
      </w:pPr>
      <w:r>
        <w:rPr>
          <w:sz w:val="24"/>
        </w:rPr>
      </w:r>
    </w:p>
    <w:p>
      <w:pPr>
        <w:pStyle w:val="Normal"/>
        <w:rPr>
          <w:sz w:val="24"/>
        </w:rPr>
      </w:pPr>
      <w:r>
        <w:rPr>
          <w:sz w:val="24"/>
        </w:rPr>
        <w:tab/>
        <w:tab/>
        <w:t>Companies in a registered system generally require prior SEC approval under Section 6 of the Act to issue and sell securities.  Section 7 of the 1935 Act sets forth the standards for approval of a financing request.  Rule 53 under the 1935 Act provides a partial safe harbor with respect to the findings required by Section 7 for certain financings by a registered holding company for the purpose of investing in  foreign utility companies (“FUCOs”), as well as in exempt wholesale generators (“EWGs”) such as the peakers that are the subject of this matter.  The registered holding company’s ability to rely on the Rule 53 safe harbor depends, in turn, on several factors including the amount of the registered holding company’s “aggregate investment” in EWGs and FUCOs.</w:t>
      </w:r>
    </w:p>
    <w:p>
      <w:pPr>
        <w:pStyle w:val="Normal"/>
        <w:rPr>
          <w:sz w:val="24"/>
        </w:rPr>
      </w:pPr>
      <w:r>
        <w:rPr>
          <w:sz w:val="24"/>
        </w:rPr>
      </w:r>
    </w:p>
    <w:p>
      <w:pPr>
        <w:pStyle w:val="Normal"/>
        <w:rPr>
          <w:sz w:val="24"/>
        </w:rPr>
      </w:pPr>
      <w:r>
        <w:rPr>
          <w:sz w:val="24"/>
        </w:rPr>
        <w:tab/>
        <w:tab/>
        <w:t xml:space="preserve">In its simplest terms, “aggregate investment” is the amount that the registered holding company has invested or committed to invest, either directly or indirectly, in EWGs and FUCOs, plus the amount of any parent-level EWG or FUCO-related exposure, whether in the form of recourse debt, guaranties or other forms of credit support.  Where the conditions of the rule are otherwise satisfied, the partial safe harbor under Rule 53 is available so long as a registered holding company’s “aggregate investment” does not exceed an amount equal to 50% of the registered system’s “consolidated retained earnings.”  </w:t>
      </w:r>
    </w:p>
    <w:p>
      <w:pPr>
        <w:pStyle w:val="Normal"/>
        <w:rPr>
          <w:sz w:val="24"/>
        </w:rPr>
      </w:pPr>
      <w:r>
        <w:rPr>
          <w:sz w:val="24"/>
        </w:rPr>
      </w:r>
    </w:p>
    <w:p>
      <w:pPr>
        <w:pStyle w:val="BodyTextIndent"/>
        <w:rPr/>
      </w:pPr>
      <w:r>
        <w:rPr/>
        <w:t>At present, A Parent has approximately $440 million of headroom under the Rule 53 cap on “aggregate investment.”  In the context of this transaction, the SEC would not authorize any parent-level financings in excess of the Rule 53 cap without first having received “certifications” from each of A Parent’s five retail regulators (Pennsylvania, Maryland, Virginia, West Virginia and Ohio).  These certifications would typically involve a representation by the state commission that it has the authority and resources necessary to protect customers subject to its jurisdiction and that it intend to exercise that authority.  This additional level of regulatory involvement could potentially result in significant delay in the SEC process.  In contrast, we believe that A Parent could readily obtain approval for financing transactions subject to that overall cap.</w:t>
      </w:r>
    </w:p>
    <w:p>
      <w:pPr>
        <w:pStyle w:val="Normal"/>
        <w:ind w:firstLine="1440" w:end="0"/>
        <w:rPr>
          <w:sz w:val="24"/>
        </w:rPr>
      </w:pPr>
      <w:r>
        <w:rPr>
          <w:sz w:val="24"/>
        </w:rPr>
      </w:r>
    </w:p>
    <w:p>
      <w:pPr>
        <w:pStyle w:val="Normal"/>
        <w:ind w:firstLine="1440" w:end="0"/>
        <w:rPr>
          <w:sz w:val="24"/>
        </w:rPr>
      </w:pPr>
      <w:r>
        <w:rPr>
          <w:sz w:val="24"/>
        </w:rPr>
        <w:t>The cap on “aggregate investment” does not apply to financings at the A level or below, for which there is no recourse directly or indirectly to A Parent.  Given the financial strength of A itself and of the A Parent system generally, together with the structural separation between A and the A Parent’s retail utility operations, we do not anticipate any problems in connection with a request by A to expand its financing authority to issue additional debt and/or supply guaranties or other credit support to fund the proposed Peakers Transaction.   To summarize, we are highly confident that A could obtain the necessary SEC Approval in a timely fashion so long the conditions outlined above are satisfied, that is, A requests 1935 Act authorization that is limited to the authority reasonably required for it to consummate the Peakers Transaction consistent with any applicable conditions or restrictions under the 1935 Act and, further, neither A nor its affiliates seek any modification of any limit on “aggregate investment” pursuant to Rule 53 in connection with the SEC Filing or otherwise take any action that would required the consent or approval of any state commission in connection with the SEC filing.</w:t>
      </w:r>
    </w:p>
    <w:p>
      <w:pPr>
        <w:pStyle w:val="Normal"/>
        <w:ind w:firstLine="1440" w:end="0"/>
        <w:rPr>
          <w:sz w:val="24"/>
        </w:rPr>
      </w:pPr>
      <w:r>
        <w:rPr>
          <w:sz w:val="24"/>
        </w:rPr>
      </w:r>
    </w:p>
    <w:p>
      <w:pPr>
        <w:pStyle w:val="Normal"/>
        <w:ind w:firstLine="1440" w:end="0"/>
        <w:rPr>
          <w:sz w:val="24"/>
        </w:rPr>
      </w:pPr>
      <w:r>
        <w:rPr>
          <w:sz w:val="24"/>
        </w:rPr>
        <w:t>The SEC staff has “delegated” authority to issue orders in routine 1935 Act matters.  In the event that a third party intervenes and requests a hearing in connection with a 1935 Act filing, the SEC staff loses the ability to proceed by delegated authority and must instead present the matter to the full Commission for decision.  While this process necessarily involves some delay, there are ways to expedite the process and we remain highly confident that the process could be completed and the SEC Approval obtained before May 30, 2001.</w:t>
      </w:r>
    </w:p>
    <w:p>
      <w:pPr>
        <w:pStyle w:val="Normal"/>
        <w:ind w:firstLine="1440" w:end="0"/>
        <w:rPr>
          <w:sz w:val="24"/>
        </w:rPr>
      </w:pPr>
      <w:r>
        <w:rPr>
          <w:sz w:val="24"/>
        </w:rPr>
      </w:r>
    </w:p>
    <w:p>
      <w:pPr>
        <w:pStyle w:val="Normal"/>
        <w:ind w:firstLine="1440" w:end="0"/>
        <w:rPr>
          <w:sz w:val="24"/>
        </w:rPr>
      </w:pPr>
      <w:r>
        <w:rPr>
          <w:sz w:val="24"/>
        </w:rPr>
        <w:t>If you have any questions, please call me at (202) 986-8281.</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1440" w:start="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2000-11-12T12:51:00Z</dcterms:created>
  <dc:creator>paula schaetzle</dc:creator>
  <dc:description/>
  <dc:language>en-CA</dc:language>
  <cp:lastModifiedBy>paula schaetzle</cp:lastModifiedBy>
  <cp:lastPrinted>2000-11-12T10:55:00Z</cp:lastPrinted>
  <dcterms:modified xsi:type="dcterms:W3CDTF">2000-11-12T14:42:00Z</dcterms:modified>
  <cp:revision>2</cp:revision>
  <dc:subject/>
  <dc:title>MEMORANDUM:</dc:title>
</cp:coreProperties>
</file>