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2"/>
          <w:szCs w:val="20"/>
        </w:rPr>
      </w:pPr>
      <w:r>
        <w:rPr>
          <w:color w:val="000000"/>
          <w:sz w:val="22"/>
          <w:szCs w:val="20"/>
        </w:rPr>
      </w:r>
    </w:p>
    <w:tbl>
      <w:tblPr>
        <w:tblW w:w="8856" w:type="dxa"/>
        <w:jc w:val="start"/>
        <w:tblInd w:w="0" w:type="dxa"/>
        <w:tblLayout w:type="fixed"/>
        <w:tblCellMar>
          <w:top w:w="0" w:type="dxa"/>
          <w:start w:w="108" w:type="dxa"/>
          <w:bottom w:w="0" w:type="dxa"/>
          <w:end w:w="108" w:type="dxa"/>
        </w:tblCellMar>
      </w:tblPr>
      <w:tblGrid>
        <w:gridCol w:w="5808"/>
        <w:gridCol w:w="3048"/>
      </w:tblGrid>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b/>
                <w:bCs/>
                <w:color w:val="000000"/>
                <w:sz w:val="22"/>
                <w:szCs w:val="20"/>
              </w:rPr>
            </w:pPr>
            <w:r>
              <w:rPr>
                <w:b/>
                <w:bCs/>
                <w:color w:val="000000"/>
                <w:sz w:val="22"/>
                <w:szCs w:val="20"/>
              </w:rPr>
              <w:t>Original Enron Comment</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b/>
                <w:bCs/>
                <w:color w:val="000000"/>
                <w:sz w:val="22"/>
                <w:szCs w:val="20"/>
              </w:rPr>
            </w:pPr>
            <w:r>
              <w:rPr>
                <w:b/>
                <w:bCs/>
                <w:color w:val="000000"/>
                <w:sz w:val="22"/>
                <w:szCs w:val="20"/>
              </w:rPr>
              <w:t>Resolution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rPr>
                <w:b/>
                <w:bCs/>
                <w:color w:val="000000"/>
                <w:sz w:val="22"/>
                <w:szCs w:val="20"/>
              </w:rPr>
            </w:pPr>
            <w:r>
              <w:rPr>
                <w:b/>
                <w:bCs/>
                <w:color w:val="000000"/>
                <w:sz w:val="22"/>
                <w:szCs w:val="20"/>
              </w:rPr>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rPr>
                <w:color w:val="000000"/>
                <w:sz w:val="22"/>
                <w:szCs w:val="20"/>
              </w:rPr>
            </w:pPr>
            <w:r>
              <w:rPr>
                <w:color w:val="000000"/>
                <w:sz w:val="22"/>
                <w:szCs w:val="20"/>
              </w:rPr>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Expected Delivery Dates:  If we aren't going to define major components, then EPD should be when Unit (and all its components) are delivered to the site, such that the construction of the Unit and any associated Equipment can be installed in accordance with the Project Schedule (or something to that effect).</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I am unclear by what we mean by "balance of plant".  Is this the BOP being supplied by Seller?</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clarify.</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Final Project Schedule needs to include concept of being geared to  meet the Guaranteed Acceptance Date.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Final Project Specifications should refer to 8.4.  The Final Specifications are not going to be "as built", since the equipment will not have been built byb the time the specs are due.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agree to change to “as will be built”</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Are GAD and termination dates the same? For releases prior to 3/1/01, the GAD will be in accordance with an exhibit, reflecting acceptance dates beginning 20 months after release, with units delivered monthly, but termination coming at different, later times.  For releases after 3/1/01, the parties will agree to the dates during the process of negotiating a release.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believes this is correct as written.  K. Mann checking with business folks to determine whether change really necessary.</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Guarantees: The defininitions and the verbage in Article 10 describing each of the guarantees need to be restored.  This is standard stuff, and makes things more clear, and it is an unnecessary bother to have to refer to the definitions to find the guaranteed levels.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agrees to move definitions for Heat Rate and Unit Output into 10.2.  FCE agrees to restore the language duplicating the gist of the table in 10.2.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Heat rate:  I personally don't know where this should be measured.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K. Mann to discuss with Enron technology people.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Punchlist applies to Equipment, not just Units.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The Scope of Work is the body of activities, etc, to be performed as embodied in the exhibit.  I haven't seen it used to mean some type of signed statement.</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2.1(d) probably should include "definitive" in favorable ruling concept.</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REF. SHOULD BE TO 2(f).  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2.1 (e) could introduce concept of Purchaser's Scope of Work (vs Seller's, of course)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clarify.</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2.2 (a)  delete 2nd sentence re permits - dealt with elsewhere.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Enron agrees it is not dealt with elsewhere and can stay in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2.3  This is not drafted consistent with our exchange of emails on the topic. Seller not complying with warranty obligation/providing service should obviate prohibition against opening (not just "unvoid" warranty while still constituting a material breach on Purchaser's part). Purchaser's obligations should be on a commercially reasonable basis, especially in regard to conduct of others.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3.1 Seller's responsibilities should reflect turnkey responsibilities.  The addition of a statement that Seller’s responsibilities include those items and services reasonably inferred from its Scope.  It is not necessary to have the language regarding fitness, but the previous language regarding newness is appropriate.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business people have indicated that we cannot make this change because it is not accurate.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3.7 [Compliance with law.- open]</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recollection is that Enron business folks agreed to this.  K. Mann to verify that Enron is ok with language.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3.9  Suggest rewording this so that if Seller reasonably determines that the request will result in Seller incurring direct third party costs or material additional internal costs, then it shall advise Purchaser.</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pPr>
            <w:r>
              <w:rPr>
                <w:color w:val="000000"/>
                <w:sz w:val="22"/>
                <w:szCs w:val="20"/>
              </w:rPr>
              <w:t>3.10 (a) I would adding “siting or” prior to operation on the 3</w:t>
            </w:r>
            <w:r>
              <w:rPr>
                <w:color w:val="000000"/>
                <w:sz w:val="22"/>
                <w:szCs w:val="20"/>
                <w:vertAlign w:val="superscript"/>
              </w:rPr>
              <w:t>rd</w:t>
            </w:r>
            <w:r>
              <w:rPr>
                <w:color w:val="000000"/>
                <w:sz w:val="22"/>
                <w:szCs w:val="20"/>
              </w:rPr>
              <w:t xml:space="preserve"> line. Suggest a two week review/approval period for Seller, with such approval not being unreasonably withheld, conditioned or delayed.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“siting” change.  Agree to 2 week change with some revision.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3.10 (b)  Do we need to address changes to the Fixed Specifications as well as Performance Standards?  We would prefer two weeks instead of 30 days.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agrees to make Fixed Spec. change.  FCE business folks indicated that we cannot make the schedule change.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3.11  I thought that testing spares were included in the price, but I’ll check with others.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agree to replace “commissioning” with “to conduct Performance Tests”</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4.3 old(g) and (h)  We would like to have these restored. Old (j) – obligation should be to devote sufficient resources, not commercially reasonable efforts.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(g) and (h) FCE cannot give.  K. Mann to discuss with business folks</w:t>
            </w:r>
          </w:p>
          <w:p>
            <w:pPr>
              <w:pStyle w:val="Normal"/>
              <w:autoSpaceDE w:val="false"/>
              <w:spacing w:lineRule="atLeast" w:line="240"/>
              <w:rPr>
                <w:color w:val="000000"/>
                <w:sz w:val="22"/>
                <w:szCs w:val="20"/>
              </w:rPr>
            </w:pPr>
            <w:r>
              <w:rPr>
                <w:color w:val="000000"/>
                <w:sz w:val="22"/>
                <w:szCs w:val="20"/>
              </w:rPr>
              <w:t>FCE agrees to make (j)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5.1.1  “Units” is too narrow – the price includes the Units and the associated services, etc etc in compliance with the Scope of Work.</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reached agreement as to new language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numPr>
                <w:ilvl w:val="1"/>
                <w:numId w:val="3"/>
              </w:numPr>
              <w:autoSpaceDE w:val="false"/>
              <w:spacing w:lineRule="atLeast" w:line="240"/>
              <w:rPr>
                <w:color w:val="000000"/>
                <w:sz w:val="22"/>
                <w:szCs w:val="20"/>
              </w:rPr>
            </w:pPr>
            <w:r>
              <w:rPr>
                <w:color w:val="000000"/>
                <w:sz w:val="22"/>
                <w:szCs w:val="20"/>
              </w:rPr>
              <w:t>There are termination rights related to the Permit Notice, so we need a cross reference here.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add reference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6.3  Is offset dealt with somewhere?  Purchaser needs a right to offset payments for the various issues raised in the original language.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only agrees to punchlist withholding.  Enron indicates they have to have a way to deal with vendor payment disputes.  This is provided for in the agreement in section ___.  FCE believes Enron has the remedies it needs.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6.4  Same comment on major components as before. Change wording to reference Units “achieving” Acceptance.  Seller’s termination rights should only extent to the units affected by the delay. iv (a) needs to include Specifications (specifically fixed specs), not just performance standards.  If terminated units are paid in full, Purchaser should get the units.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agrees to make changes except for last comment which K. Mann is thinking through.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6.5 Seller does not “maintain a lien” until payment.  A lien will not arise until Purchaser has failed to make a payment.  Please restore language referring to “other persons entitled”. </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Revised.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6.6 We specifically discussed the contemporaneous exchange of payment and release.  </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6.9 Please restore original language, deleting reference to progress payments.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Parties reached compromise on language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6.10  Completion of tasks should be to Purchaser’s reasonable satisfaction. Release of payment should be in the amounts agreed to be withheld for the tasks.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agreed to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6.1.1  We can’t commit to payment in 3 days. Either 7 calendar days or 5 business days.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agreed to change to 7 days.</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color w:val="000000"/>
                <w:sz w:val="22"/>
                <w:szCs w:val="20"/>
              </w:rPr>
            </w:pPr>
            <w:r>
              <w:rPr>
                <w:color w:val="000000"/>
                <w:sz w:val="22"/>
                <w:szCs w:val="20"/>
              </w:rPr>
              <w:t>7.2  The release should be binding upon both parties upon receipt by Seller so long as the the release is received prior to 3/1/01 and the pricing and delivery schedule are in accordance with Exhibit A.  For any release after March 1, the Alliance Agreement process should be incorporated.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Revisions incorporated.</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color w:val="000000"/>
                <w:sz w:val="22"/>
                <w:szCs w:val="20"/>
              </w:rPr>
            </w:pPr>
            <w:r>
              <w:rPr>
                <w:color w:val="000000"/>
                <w:sz w:val="22"/>
                <w:szCs w:val="20"/>
              </w:rPr>
              <w:t xml:space="preserve">8.1  </w:t>
            </w:r>
            <w:r>
              <w:rPr>
                <w:sz w:val="22"/>
              </w:rPr>
              <w:t>Need time frame for update of PMP.</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agreed to 7 months from Release Date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color w:val="000000"/>
                <w:sz w:val="22"/>
                <w:szCs w:val="20"/>
              </w:rPr>
            </w:pPr>
            <w:r>
              <w:rPr>
                <w:color w:val="000000"/>
                <w:sz w:val="22"/>
                <w:szCs w:val="20"/>
              </w:rPr>
              <w:t xml:space="preserve">8.2 </w:t>
            </w:r>
            <w:r>
              <w:rPr>
                <w:sz w:val="22"/>
              </w:rPr>
              <w:t>Need more definition of the design drawings.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rPr>
              <w:t>FCE business folks say this cannot be more definitively explained at this stage but point out that the actual list of drawings will be agreed upon and documented in the “document review schedule” in the management plan.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color w:val="000000"/>
                <w:sz w:val="22"/>
                <w:szCs w:val="20"/>
              </w:rPr>
            </w:pPr>
            <w:r>
              <w:rPr>
                <w:color w:val="000000"/>
                <w:sz w:val="22"/>
                <w:szCs w:val="20"/>
              </w:rPr>
              <w:t xml:space="preserve">10.2 </w:t>
            </w:r>
            <w:r>
              <w:rPr>
                <w:sz w:val="22"/>
              </w:rPr>
              <w:t>See previous comments. We want verbage describing the various performance levels, ie, guarantees. Sound level to be 60 or less.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Previous comments addressed.  Sound level revised.</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0" w:leader="none"/>
              </w:tabs>
              <w:ind w:hanging="0" w:start="0" w:end="0"/>
              <w:rPr>
                <w:color w:val="000000"/>
                <w:sz w:val="22"/>
                <w:szCs w:val="20"/>
              </w:rPr>
            </w:pPr>
            <w:r>
              <w:rPr>
                <w:sz w:val="22"/>
              </w:rPr>
              <w:t>The phrase endurance is misleading, and especially confusing in light of the stack warranty.  Reliability is the more accurate term of art.</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agree to change name to “72-hour test”</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numPr>
                <w:ilvl w:val="1"/>
                <w:numId w:val="2"/>
              </w:numPr>
              <w:rPr>
                <w:sz w:val="22"/>
              </w:rPr>
            </w:pPr>
            <w:r>
              <w:rPr>
                <w:sz w:val="22"/>
              </w:rPr>
              <w:t>Acceptance occurs on the later date of the listed items.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10.7  Delete “Maximum”.</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change definition of Maximum Unit Output to Unit Output</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10.8  Add “performance” before “standard” on third line. Add “Such Performance Standard for Water Discharge Quality shall be based on the water quality standards for the water supply for each Site, as supplied by Purchaser, and calculated in accordance with industry standards.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Compromise reached.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11.1  Should be Purchaser directed changes.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Enron agreed to leave in.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11.2 and 11.3  Delete the last sentence, as it isn’t realistic.</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Enron agreed to leave in and parties agreed to add schedule to both sections</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11.4  Reference should be to Fixed Specifications, since the Final Specs won’t be ready for a year.</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agree to revision.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11.6.2 (b)  Is there a more clear way of saying this?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agree to clarification.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11.6.2 (d)  Change orders should be paid at Acceptance, unless the change reflects a material change is scope, and shall be subject to refund.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Still in dispute – to be revisited.</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14.1.2 (iv) standard should be more specific to misuse – negligence is ok.</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agrees to make change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14.2  How does this work if only one stack replaced?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Enron agrees no change necessary</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14.2  How is it prorated?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Parties agree to add clarity</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14.8  Still open.</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K. Mann to verify that business folks are ok with this section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17.2  Add “before the end of the cure period” after Acceptance on the next to the last line.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18.2  Return to “be limited to” language.</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Enron agrees to leave in</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18.8  Sixty.</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make change</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22.1  Still owe you language on this.  It is being discussed internally.  However, I have a concern about Seller assignment, since Seller only needs to assign in the case of an asset sale, and in that case, knowing what assets are being sold would be very important.  Therefore, assignment by Seller should require consent, subject to some reasonableness standard.</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K. Mann working on language.  Re: Enron assignment, parties agreed to try compromise language which FCE is working on.    </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22.2  What is a product easily substituted for fuel cells?  I thought Jerry agreed to limit it to fuel cell manufacturers.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limit.</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23.1  Somewhere in the document we need a statement that Seller is responsible for the acts of its agents and Vendors.(I might have missed it).</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FCE agrees to add with qualifier as to no employment relationship.</w:t>
            </w:r>
          </w:p>
        </w:tc>
      </w:tr>
      <w:tr>
        <w:trPr/>
        <w:tc>
          <w:tcPr>
            <w:tcW w:w="58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26.2  It must be clear that the waiver does not diminish obligation to indemnify for third party’s consequential losses.</w:t>
            </w:r>
          </w:p>
        </w:tc>
        <w:tc>
          <w:tcPr>
            <w:tcW w:w="304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color w:val="000000"/>
                <w:sz w:val="22"/>
                <w:szCs w:val="20"/>
              </w:rPr>
            </w:pPr>
            <w:r>
              <w:rPr>
                <w:color w:val="000000"/>
                <w:sz w:val="22"/>
                <w:szCs w:val="20"/>
              </w:rPr>
              <w:t xml:space="preserve">FCE not willing to add any language re: consequential damages.  Parties agree that K. Mann will propose narrowed language, R. Levine will check coverage with insurance agent, and J. Scheib will consider ramifications of adding.   </w:t>
            </w:r>
          </w:p>
        </w:tc>
      </w:tr>
    </w:tbl>
    <w:p>
      <w:pPr>
        <w:pStyle w:val="Normal"/>
        <w:rPr>
          <w:sz w:val="22"/>
        </w:rPr>
      </w:pPr>
      <w:r>
        <w:rPr>
          <w:sz w:val="22"/>
        </w:rPr>
      </w:r>
    </w:p>
    <w:p>
      <w:pPr>
        <w:pStyle w:val="Normal"/>
        <w:rPr>
          <w:sz w:val="22"/>
        </w:rPr>
      </w:pPr>
      <w:r>
        <w:rPr>
          <w:sz w:val="22"/>
        </w:rPr>
      </w:r>
    </w:p>
    <w:p>
      <w:pPr>
        <w:pStyle w:val="Normal"/>
        <w:rPr>
          <w:b/>
          <w:bCs/>
          <w:sz w:val="22"/>
        </w:rPr>
      </w:pPr>
      <w:r>
        <w:rPr>
          <w:b/>
          <w:bCs/>
          <w:sz w:val="22"/>
        </w:rPr>
        <w:t>Additional issues:</w:t>
      </w:r>
    </w:p>
    <w:p>
      <w:pPr>
        <w:pStyle w:val="Normal"/>
        <w:rPr>
          <w:b/>
          <w:bCs/>
          <w:sz w:val="22"/>
        </w:rPr>
      </w:pPr>
      <w:r>
        <w:rPr>
          <w:b/>
          <w:bCs/>
          <w:sz w:val="22"/>
        </w:rPr>
      </w:r>
    </w:p>
    <w:p>
      <w:pPr>
        <w:pStyle w:val="Normal"/>
        <w:rPr>
          <w:b/>
          <w:bCs/>
          <w:sz w:val="22"/>
        </w:rPr>
      </w:pPr>
      <w:r>
        <w:rPr>
          <w:b/>
          <w:bCs/>
          <w:sz w:val="22"/>
        </w:rPr>
        <w:t>K. Mann checking the particulars of the Scope of Work to verify specificity</w:t>
      </w:r>
    </w:p>
    <w:p>
      <w:pPr>
        <w:pStyle w:val="Normal"/>
        <w:rPr>
          <w:b/>
          <w:bCs/>
          <w:sz w:val="22"/>
        </w:rPr>
      </w:pPr>
      <w:r>
        <w:rPr>
          <w:b/>
          <w:bCs/>
          <w:sz w:val="22"/>
        </w:rPr>
        <w:t>K. Mann getting shipping language.</w:t>
      </w:r>
    </w:p>
    <w:p>
      <w:pPr>
        <w:pStyle w:val="Normal"/>
        <w:rPr>
          <w:b/>
          <w:bCs/>
          <w:sz w:val="22"/>
        </w:rPr>
      </w:pPr>
      <w:r>
        <w:rPr>
          <w:b/>
          <w:bCs/>
          <w:sz w:val="22"/>
        </w:rPr>
        <w:t>K. Mann getting insurance language.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HART1-908264-1</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375"/>
        </w:tabs>
        <w:ind w:start="375" w:hanging="375"/>
      </w:pPr>
      <w:rPr/>
    </w:lvl>
    <w:lvl w:ilvl="1">
      <w:start w:val="3"/>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0"/>
      <w:numFmt w:val="decimal"/>
      <w:lvlText w:val="%1"/>
      <w:lvlJc w:val="start"/>
      <w:pPr>
        <w:tabs>
          <w:tab w:val="num" w:pos="495"/>
        </w:tabs>
        <w:ind w:start="495" w:hanging="495"/>
      </w:pPr>
      <w:rPr/>
    </w:lvl>
    <w:lvl w:ilvl="1">
      <w:start w:val="6"/>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5"/>
      <w:numFmt w:val="decimal"/>
      <w:lvlText w:val="%1"/>
      <w:lvlJc w:val="start"/>
      <w:pPr>
        <w:tabs>
          <w:tab w:val="num" w:pos="390"/>
        </w:tabs>
        <w:ind w:start="390" w:hanging="390"/>
      </w:pPr>
      <w:rPr/>
    </w:lvl>
    <w:lvl w:ilvl="1">
      <w:start w:val="4"/>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2000-11-17T21:40:00Z</dcterms:created>
  <dc:creator>kmann</dc:creator>
  <dc:description/>
  <dc:language>en-CA</dc:language>
  <cp:lastModifiedBy>IS Department</cp:lastModifiedBy>
  <dcterms:modified xsi:type="dcterms:W3CDTF">2000-11-18T01:42:00Z</dcterms:modified>
  <cp:revision>4</cp:revision>
  <dc:subject/>
  <dc:title>Here are my initial comments/observations on the first 12 pages:</dc:title>
</cp:coreProperties>
</file>