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2"/>
          <w:lang w:val="en-CA"/>
        </w:rPr>
      </w:pPr>
      <w:r>
        <w:rPr>
          <w:b/>
          <w:sz w:val="22"/>
          <w:lang w:val="en-CA"/>
        </w:rPr>
      </w:r>
      <w:r>
        <mc:AlternateContent>
          <mc:Choice Requires="wps">
            <w:drawing>
              <wp:anchor behindDoc="0" distT="0" distB="0" distL="114935" distR="114935" simplePos="0" locked="0" layoutInCell="1" allowOverlap="1" relativeHeight="2">
                <wp:simplePos x="0" y="0"/>
                <wp:positionH relativeFrom="column">
                  <wp:posOffset>1827530</wp:posOffset>
                </wp:positionH>
                <wp:positionV relativeFrom="paragraph">
                  <wp:posOffset>-458470</wp:posOffset>
                </wp:positionV>
                <wp:extent cx="3111500" cy="1099820"/>
                <wp:effectExtent l="0" t="0" r="0" b="0"/>
                <wp:wrapNone/>
                <wp:docPr id="1" name="Frame1"/>
                <a:graphic xmlns:a="http://schemas.openxmlformats.org/drawingml/2006/main">
                  <a:graphicData uri="http://schemas.microsoft.com/office/word/2010/wordprocessingShape">
                    <wps:wsp>
                      <wps:cNvSpPr txBox="1"/>
                      <wps:spPr>
                        <a:xfrm>
                          <a:off x="0" y="0"/>
                          <a:ext cx="3111500" cy="1099820"/>
                        </a:xfrm>
                        <a:prstGeom prst="rect"/>
                        <a:solidFill>
                          <a:srgbClr val="FFFFFF">
                            <a:alpha val="0"/>
                          </a:srgbClr>
                        </a:solidFill>
                        <a:ln w="3175">
                          <a:solidFill>
                            <a:srgbClr val="FFFFFF"/>
                          </a:solidFill>
                        </a:ln>
                      </wps:spPr>
                      <wps:txbx>
                        <w:txbxContent>
                          <w:p>
                            <w:pPr>
                              <w:pStyle w:val="Heading2"/>
                              <w:ind w:hanging="0" w:start="0"/>
                              <w:rPr/>
                            </w:pPr>
                            <w:r>
                              <w:rPr/>
                              <w:t>JEFFREY IRA SNYDER</w:t>
                            </w:r>
                          </w:p>
                          <w:p>
                            <w:pPr>
                              <w:pStyle w:val="Normal"/>
                              <w:jc w:val="center"/>
                              <w:rPr>
                                <w:sz w:val="18"/>
                              </w:rPr>
                            </w:pPr>
                            <w:r>
                              <w:rPr>
                                <w:sz w:val="18"/>
                              </w:rPr>
                              <w:t>2311 Milam Street  #8205</w:t>
                            </w:r>
                          </w:p>
                          <w:p>
                            <w:pPr>
                              <w:pStyle w:val="Normal"/>
                              <w:jc w:val="center"/>
                              <w:rPr>
                                <w:sz w:val="18"/>
                              </w:rPr>
                            </w:pPr>
                            <w:r>
                              <w:rPr>
                                <w:sz w:val="18"/>
                              </w:rPr>
                              <w:t>Houston, TX  77006</w:t>
                            </w:r>
                          </w:p>
                          <w:p>
                            <w:pPr>
                              <w:pStyle w:val="Normal"/>
                              <w:jc w:val="center"/>
                              <w:rPr>
                                <w:sz w:val="18"/>
                              </w:rPr>
                            </w:pPr>
                            <w:r>
                              <w:rPr>
                                <w:sz w:val="18"/>
                              </w:rPr>
                              <w:t>(713) 874-1475</w:t>
                            </w:r>
                          </w:p>
                          <w:p>
                            <w:pPr>
                              <w:pStyle w:val="Normal"/>
                              <w:jc w:val="center"/>
                              <w:rPr>
                                <w:sz w:val="18"/>
                              </w:rPr>
                            </w:pPr>
                            <w:r>
                              <w:rPr>
                                <w:sz w:val="18"/>
                              </w:rPr>
                              <w:t>jeffrey.snyder.wh99@wharton.upenn.edu</w:t>
                            </w:r>
                          </w:p>
                        </w:txbxContent>
                      </wps:txbx>
                      <wps:bodyPr anchor="t" lIns="91440" tIns="45720" rIns="91440" bIns="45720">
                        <a:noAutofit/>
                      </wps:bodyPr>
                    </wps:wsp>
                  </a:graphicData>
                </a:graphic>
              </wp:anchor>
            </w:drawing>
          </mc:Choice>
          <mc:Fallback>
            <w:pict>
              <v:rect fillcolor="#FFFFFF" strokecolor="#FFFFFF" strokeweight="0pt" style="position:absolute;rotation:-0;width:245pt;height:86.6pt;mso-wrap-distance-left:9.05pt;mso-wrap-distance-right:9.05pt;mso-wrap-distance-top:0pt;mso-wrap-distance-bottom:0pt;margin-top:-36.1pt;mso-position-vertical-relative:text;margin-left:143.9pt;mso-position-horizontal-relative:text">
                <v:fill opacity="0f"/>
                <v:textbox>
                  <w:txbxContent>
                    <w:p>
                      <w:pPr>
                        <w:pStyle w:val="Heading2"/>
                        <w:ind w:hanging="0" w:start="0"/>
                        <w:rPr/>
                      </w:pPr>
                      <w:r>
                        <w:rPr/>
                        <w:t>JEFFREY IRA SNYDER</w:t>
                      </w:r>
                    </w:p>
                    <w:p>
                      <w:pPr>
                        <w:pStyle w:val="Normal"/>
                        <w:jc w:val="center"/>
                        <w:rPr>
                          <w:sz w:val="18"/>
                        </w:rPr>
                      </w:pPr>
                      <w:r>
                        <w:rPr>
                          <w:sz w:val="18"/>
                        </w:rPr>
                        <w:t>2311 Milam Street  #8205</w:t>
                      </w:r>
                    </w:p>
                    <w:p>
                      <w:pPr>
                        <w:pStyle w:val="Normal"/>
                        <w:jc w:val="center"/>
                        <w:rPr>
                          <w:sz w:val="18"/>
                        </w:rPr>
                      </w:pPr>
                      <w:r>
                        <w:rPr>
                          <w:sz w:val="18"/>
                        </w:rPr>
                        <w:t>Houston, TX  77006</w:t>
                      </w:r>
                    </w:p>
                    <w:p>
                      <w:pPr>
                        <w:pStyle w:val="Normal"/>
                        <w:jc w:val="center"/>
                        <w:rPr>
                          <w:sz w:val="18"/>
                        </w:rPr>
                      </w:pPr>
                      <w:r>
                        <w:rPr>
                          <w:sz w:val="18"/>
                        </w:rPr>
                        <w:t>(713) 874-1475</w:t>
                      </w:r>
                    </w:p>
                    <w:p>
                      <w:pPr>
                        <w:pStyle w:val="Normal"/>
                        <w:jc w:val="center"/>
                        <w:rPr>
                          <w:sz w:val="18"/>
                        </w:rPr>
                      </w:pPr>
                      <w:r>
                        <w:rPr>
                          <w:sz w:val="18"/>
                        </w:rPr>
                        <w:t>jeffrey.snyder.wh99@wharton.upenn.edu</w:t>
                      </w:r>
                    </w:p>
                  </w:txbxContent>
                </v:textbox>
                <w10:wrap type="none"/>
              </v:rect>
            </w:pict>
          </mc:Fallback>
        </mc:AlternateContent>
      </w:r>
    </w:p>
    <w:p>
      <w:pPr>
        <w:pStyle w:val="Normal"/>
        <w:rPr>
          <w:b/>
          <w:sz w:val="22"/>
        </w:rPr>
      </w:pPr>
      <w:r>
        <w:rPr>
          <w:b/>
          <w:sz w:val="22"/>
        </w:rPr>
      </w:r>
    </w:p>
    <w:p>
      <w:pPr>
        <w:pStyle w:val="Normal"/>
        <w:rPr>
          <w:b/>
          <w:sz w:val="14"/>
        </w:rPr>
      </w:pPr>
      <w:r>
        <w:rPr>
          <w:b/>
          <w:sz w:val="14"/>
        </w:rPr>
      </w:r>
    </w:p>
    <w:p>
      <w:pPr>
        <w:pStyle w:val="Normal"/>
        <w:rPr>
          <w:b/>
          <w:sz w:val="28"/>
        </w:rPr>
      </w:pPr>
      <w:r>
        <w:rPr>
          <w:b/>
          <w:sz w:val="22"/>
        </w:rPr>
        <w:t>EDUCATION:</w:t>
      </w:r>
    </w:p>
    <w:p>
      <w:pPr>
        <w:pStyle w:val="Normal"/>
        <w:spacing w:lineRule="auto" w:line="120"/>
        <w:rPr>
          <w:b/>
          <w:sz w:val="28"/>
        </w:rPr>
      </w:pPr>
      <w:r>
        <w:rPr>
          <w:b/>
          <w:sz w:val="28"/>
        </w:rPr>
      </w:r>
    </w:p>
    <w:p>
      <w:pPr>
        <w:pStyle w:val="Normal"/>
        <w:rPr>
          <w:b/>
        </w:rPr>
      </w:pPr>
      <w:r>
        <w:rPr>
          <w:b/>
        </w:rPr>
        <w:t>University of Pennsylvania, The Wharton School, Philadelphia, PA</w:t>
      </w:r>
    </w:p>
    <w:p>
      <w:pPr>
        <w:pStyle w:val="Normal"/>
        <w:rPr/>
      </w:pPr>
      <w:r>
        <w:rPr/>
        <w:t>Bachelor of Science in Economics, May 1999</w:t>
      </w:r>
    </w:p>
    <w:p>
      <w:pPr>
        <w:pStyle w:val="Normal"/>
        <w:rPr/>
      </w:pPr>
      <w:r>
        <w:rPr>
          <w:i/>
        </w:rPr>
        <w:t>Relevant Coursework</w:t>
      </w:r>
      <w:r>
        <w:rPr/>
        <w:t>: Mergers and Acquisitions, Law of Corporate Management and Finance, Funding Investments, Corporate Finance, Monetary Economics, Business Law, Insurance &amp; Risk Mgmt., Theory and Structure of Financial Markets, International Banking, International Comparative Mgmt., Negotiations, The Language of Leadership, Executive Leadership</w:t>
      </w:r>
    </w:p>
    <w:p>
      <w:pPr>
        <w:pStyle w:val="Normal"/>
        <w:spacing w:lineRule="auto" w:line="120"/>
        <w:rPr>
          <w:i/>
          <w:i/>
          <w:sz w:val="12"/>
        </w:rPr>
      </w:pPr>
      <w:r>
        <w:rPr>
          <w:i/>
          <w:sz w:val="12"/>
        </w:rPr>
      </w:r>
    </w:p>
    <w:p>
      <w:pPr>
        <w:pStyle w:val="Normal"/>
        <w:spacing w:lineRule="auto" w:line="120"/>
        <w:rPr>
          <w:i/>
          <w:i/>
          <w:sz w:val="12"/>
        </w:rPr>
      </w:pPr>
      <w:r>
        <w:rPr>
          <w:i/>
          <w:sz w:val="12"/>
        </w:rPr>
      </w:r>
    </w:p>
    <w:p>
      <w:pPr>
        <w:pStyle w:val="Normal"/>
        <w:rPr/>
      </w:pPr>
      <w:r>
        <w:rPr>
          <w:b/>
          <w:i/>
        </w:rPr>
        <w:t>Leadership</w:t>
      </w:r>
      <w:r>
        <w:rPr>
          <w:b/>
        </w:rPr>
        <w:t xml:space="preserve">: </w:t>
      </w:r>
    </w:p>
    <w:p>
      <w:pPr>
        <w:pStyle w:val="Normal"/>
        <w:rPr>
          <w:u w:val="single"/>
        </w:rPr>
      </w:pPr>
      <w:r>
        <w:rPr>
          <w:u w:val="single"/>
        </w:rPr>
        <w:t>Class of 1999 Gift Chair</w:t>
      </w:r>
      <w:r>
        <w:rPr/>
        <w:t>, (1998-present)</w:t>
      </w:r>
    </w:p>
    <w:p>
      <w:pPr>
        <w:pStyle w:val="Normal"/>
        <w:rPr/>
      </w:pPr>
      <w:r>
        <w:rPr>
          <w:u w:val="single"/>
        </w:rPr>
        <w:t>Phi Kappa Sigma International Fraternity</w:t>
      </w:r>
      <w:r>
        <w:rPr/>
        <w:t>, Alpha Chapter, President, Vice-President</w:t>
      </w:r>
    </w:p>
    <w:p>
      <w:pPr>
        <w:pStyle w:val="Normal"/>
        <w:rPr/>
      </w:pPr>
      <w:r>
        <w:rPr>
          <w:u w:val="single"/>
        </w:rPr>
        <w:t>Office of Undergraduate Admissions</w:t>
      </w:r>
      <w:r>
        <w:rPr/>
        <w:t xml:space="preserve">, Houston Secondary School Committee </w:t>
      </w:r>
    </w:p>
    <w:p>
      <w:pPr>
        <w:pStyle w:val="Normal"/>
        <w:rPr/>
      </w:pPr>
      <w:r>
        <w:rPr>
          <w:u w:val="single"/>
        </w:rPr>
        <w:t>InterFraternity Council</w:t>
      </w:r>
      <w:r>
        <w:rPr/>
        <w:t>, Vice-President - Rush and Membership Education</w:t>
      </w:r>
    </w:p>
    <w:p>
      <w:pPr>
        <w:pStyle w:val="Normal"/>
        <w:rPr/>
      </w:pPr>
      <w:r>
        <w:rPr>
          <w:u w:val="single"/>
        </w:rPr>
        <w:t>University Honor Council</w:t>
      </w:r>
      <w:r>
        <w:rPr/>
        <w:t xml:space="preserve">, Vice-Chairperson, Appointed by Provost, Two terms </w:t>
      </w:r>
    </w:p>
    <w:p>
      <w:pPr>
        <w:pStyle w:val="Normal"/>
        <w:rPr/>
      </w:pPr>
      <w:r>
        <w:rPr>
          <w:u w:val="single"/>
        </w:rPr>
        <w:t>Class of 1999 Executive Board</w:t>
      </w:r>
      <w:r>
        <w:rPr/>
        <w:t>, Wharton School Representative</w:t>
      </w:r>
    </w:p>
    <w:p>
      <w:pPr>
        <w:pStyle w:val="Normal"/>
        <w:rPr>
          <w:u w:val="single"/>
        </w:rPr>
      </w:pPr>
      <w:r>
        <w:rPr>
          <w:u w:val="single"/>
        </w:rPr>
        <w:t>The Daily Pennsylvanian</w:t>
      </w:r>
      <w:r>
        <w:rPr/>
        <w:t>, Opinion Columnist</w:t>
      </w:r>
    </w:p>
    <w:p>
      <w:pPr>
        <w:pStyle w:val="Normal"/>
        <w:spacing w:lineRule="auto" w:line="120"/>
        <w:rPr>
          <w:u w:val="single"/>
        </w:rPr>
      </w:pPr>
      <w:r>
        <w:rPr>
          <w:u w:val="single"/>
        </w:rPr>
      </w:r>
    </w:p>
    <w:p>
      <w:pPr>
        <w:pStyle w:val="Normal"/>
        <w:rPr/>
      </w:pPr>
      <w:r>
        <w:rPr>
          <w:b/>
        </w:rPr>
        <w:t>Harvard University, Cambridge, MA</w:t>
      </w:r>
      <w:r>
        <w:rPr/>
        <w:t>, Summer 1994</w:t>
      </w:r>
    </w:p>
    <w:p>
      <w:pPr>
        <w:pStyle w:val="Normal"/>
        <w:rPr>
          <w:b/>
          <w:sz w:val="22"/>
        </w:rPr>
      </w:pPr>
      <w:r>
        <w:rPr>
          <w:b/>
          <w:sz w:val="22"/>
        </w:rPr>
      </w:r>
    </w:p>
    <w:p>
      <w:pPr>
        <w:pStyle w:val="Normal"/>
        <w:rPr/>
      </w:pPr>
      <w:r>
        <w:rPr>
          <w:b/>
          <w:sz w:val="22"/>
        </w:rPr>
        <w:t>WORK EXPERIENCE</w:t>
      </w:r>
      <w:r>
        <w:rPr>
          <w:sz w:val="22"/>
        </w:rPr>
        <w:t>:</w:t>
      </w:r>
    </w:p>
    <w:p>
      <w:pPr>
        <w:pStyle w:val="Normal"/>
        <w:spacing w:lineRule="auto" w:line="120"/>
        <w:rPr/>
      </w:pPr>
      <w:r>
        <w:rPr/>
      </w:r>
    </w:p>
    <w:p>
      <w:pPr>
        <w:pStyle w:val="Normal"/>
        <w:rPr>
          <w:b/>
        </w:rPr>
      </w:pPr>
      <w:r>
        <w:rPr>
          <w:b/>
        </w:rPr>
        <w:t xml:space="preserve">Enron Corporation, Houston, TX – Analyst Program </w:t>
        <w:tab/>
        <w:tab/>
        <w:tab/>
        <w:tab/>
        <w:tab/>
        <w:t xml:space="preserve">            July 1999 – Present</w:t>
      </w:r>
    </w:p>
    <w:p>
      <w:pPr>
        <w:pStyle w:val="Normal"/>
        <w:rPr/>
      </w:pPr>
      <w:r>
        <w:rPr>
          <w:i/>
          <w:u w:val="single"/>
        </w:rPr>
        <w:t>Enron Net Works, E-Commerce Ventures</w:t>
      </w:r>
      <w:r>
        <w:rPr>
          <w:i/>
        </w:rPr>
        <w:t xml:space="preserve"> (2/2000 – present) – </w:t>
      </w:r>
      <w:r>
        <w:rPr/>
        <w:t xml:space="preserve">Analyzed and evaluated industries and companies for Enron’s e-commerce and infrastructure focused private equity/venture investing group.  Identified focus areas and potential investment opportunities, produced financial and qualitative analyses including private company valuations and extensive market studies, executed transactions, and attended industry conferences to expand network of opportunities. </w:t>
      </w:r>
    </w:p>
    <w:p>
      <w:pPr>
        <w:pStyle w:val="Normal"/>
        <w:rPr>
          <w:i/>
          <w:i/>
          <w:sz w:val="12"/>
        </w:rPr>
      </w:pPr>
      <w:r>
        <w:rPr>
          <w:i/>
          <w:sz w:val="12"/>
        </w:rPr>
      </w:r>
    </w:p>
    <w:p>
      <w:pPr>
        <w:pStyle w:val="Normal"/>
        <w:rPr/>
      </w:pPr>
      <w:r>
        <w:rPr>
          <w:i/>
          <w:u w:val="single"/>
        </w:rPr>
        <w:t>Waterdesk.com (Azurix) (7/1999 – 2/2000)</w:t>
      </w:r>
      <w:r>
        <w:rPr>
          <w:b/>
          <w:i/>
        </w:rPr>
        <w:t xml:space="preserve"> -- </w:t>
      </w:r>
      <w:r>
        <w:rPr/>
        <w:t xml:space="preserve">Assisted in the creation of the strategy and business plan, technology evaluation, and execution phase of the Waterdesk.com project, a business-to-business (B2B) e-commerce start-up for Azurix, an Enron spin-off. Researched water and wastewater industry, produced financial and qualitative analysis, evaluated and valued potential partners, acquisition targets, and competitors.  Waterdesk will provide the water and wastewater industry with a marketplace for buying and selling capital equipment and MRO inventory online and an exchange for trading water and water rights. </w:t>
      </w:r>
    </w:p>
    <w:p>
      <w:pPr>
        <w:pStyle w:val="Normal"/>
        <w:rPr>
          <w:b/>
          <w:sz w:val="12"/>
        </w:rPr>
      </w:pPr>
      <w:r>
        <w:rPr>
          <w:b/>
          <w:sz w:val="12"/>
        </w:rPr>
      </w:r>
    </w:p>
    <w:p>
      <w:pPr>
        <w:pStyle w:val="Heading1"/>
        <w:ind w:hanging="0" w:start="0"/>
        <w:rPr/>
      </w:pPr>
      <w:r>
        <w:rPr/>
        <w:t>BP Exploration (Alaska) Inc., Anchorage, AK</w:t>
        <w:tab/>
        <w:tab/>
        <w:tab/>
        <w:tab/>
        <w:tab/>
        <w:tab/>
        <w:t xml:space="preserve">                      Summer 1998</w:t>
      </w:r>
    </w:p>
    <w:p>
      <w:pPr>
        <w:pStyle w:val="Normal"/>
        <w:rPr/>
      </w:pPr>
      <w:r>
        <w:rPr>
          <w:i/>
        </w:rPr>
        <w:t>Commercial Analyst, Eastern North Slope Asset</w:t>
      </w:r>
      <w:r>
        <w:rPr/>
        <w:t>.  Analyzed work scope related to Badami petroleum reserve on the North Slope of Alaska and prepared an aggressive strategy for pursuing an Enhanced Oil Recovery (EOR) tax credit for the Badami asset, the first ever to employ EOR from start-up.  Produced documentation justifying an approach yielding $9.6 million immediately and an accurate means of forecasting a potential of $30+ million in future Badami credit proceeds. Provided template and knowledge base for future EOR projects as well as contributions to other miscellaneous initiatives.</w:t>
      </w:r>
    </w:p>
    <w:p>
      <w:pPr>
        <w:pStyle w:val="Normal"/>
        <w:spacing w:lineRule="auto" w:line="120"/>
        <w:rPr/>
      </w:pPr>
      <w:r>
        <w:rPr/>
      </w:r>
    </w:p>
    <w:p>
      <w:pPr>
        <w:pStyle w:val="Normal"/>
        <w:rPr/>
      </w:pPr>
      <w:r>
        <w:rPr>
          <w:b/>
        </w:rPr>
        <w:t>Watsco, Inc., Coconut Grove, FL</w:t>
        <w:tab/>
        <w:tab/>
        <w:tab/>
        <w:tab/>
        <w:tab/>
        <w:tab/>
        <w:tab/>
        <w:tab/>
        <w:t xml:space="preserve">           Summers 1995-1997</w:t>
      </w:r>
      <w:r>
        <w:rPr/>
        <w:t xml:space="preserve"> </w:t>
      </w:r>
    </w:p>
    <w:p>
      <w:pPr>
        <w:pStyle w:val="Normal"/>
        <w:rPr/>
      </w:pPr>
      <w:r>
        <w:rPr>
          <w:i/>
        </w:rPr>
        <w:t>Intern, Corporate Headquarters</w:t>
      </w:r>
      <w:r>
        <w:rPr/>
        <w:t>. Completed varied projects in finance, accounting, information systems, and management research. Played major support role in negotiation of centralized telecommunications contract for corporate headquarters and subsidiaries. Redesigned corporate web site. Researched and compiled a three-year benchmarking study comparing subsidiary distributors to industry competitors and a population study forecasting favorable future expansion possibilities. Presented findings to Board of Directors. Played major support role in insurance negotiation yielding $1 million in annual savings to the corporation. Also assisted with Federal Corporate Income Tax return, a state sales tax audit, a stock offering, 401k plan administration and the restructuring of the revolving debt.</w:t>
      </w:r>
    </w:p>
    <w:p>
      <w:pPr>
        <w:pStyle w:val="Normal"/>
        <w:spacing w:lineRule="auto" w:line="192"/>
        <w:rPr/>
      </w:pPr>
      <w:r>
        <w:rPr/>
      </w:r>
    </w:p>
    <w:p>
      <w:pPr>
        <w:pStyle w:val="Normal"/>
        <w:rPr/>
      </w:pPr>
      <w:r>
        <w:rPr>
          <w:b/>
          <w:sz w:val="22"/>
        </w:rPr>
        <w:t>SPECIAL QUALIFICATIONS</w:t>
      </w:r>
      <w:r>
        <w:rPr/>
        <w:t>:</w:t>
      </w:r>
    </w:p>
    <w:p>
      <w:pPr>
        <w:pStyle w:val="Normal"/>
        <w:spacing w:lineRule="auto" w:line="120"/>
        <w:rPr/>
      </w:pPr>
      <w:r>
        <w:rPr/>
      </w:r>
    </w:p>
    <w:p>
      <w:pPr>
        <w:pStyle w:val="Normal"/>
        <w:rPr/>
      </w:pPr>
      <w:r>
        <w:rPr>
          <w:i/>
        </w:rPr>
        <w:t>Computer/Internet Proficiency</w:t>
      </w:r>
      <w:r>
        <w:rPr/>
        <w:t>: All versions of Microsoft Word, Excel and Powerpoint and other database, spreadsheet, and word processing software as well as background in Internet use, HTML, web publishing, and Internet-related law.</w:t>
      </w:r>
    </w:p>
    <w:p>
      <w:pPr>
        <w:pStyle w:val="Normal"/>
        <w:rPr/>
      </w:pPr>
      <w:r>
        <w:rPr>
          <w:i/>
        </w:rPr>
        <w:t>Foreign Language Proficiency</w:t>
      </w:r>
      <w:r>
        <w:rPr/>
        <w:t>: Proficient in German (per University of Pennsylvania proficiency requirements)</w:t>
      </w:r>
    </w:p>
    <w:p>
      <w:pPr>
        <w:pStyle w:val="Normal"/>
        <w:rPr/>
      </w:pPr>
      <w:r>
        <w:rPr>
          <w:i/>
        </w:rPr>
        <w:t>Mediation Training</w:t>
      </w:r>
      <w:r>
        <w:rPr/>
        <w:t>: Trained in Basic Mediation by PennACCORD Associates, Inc., November 1996. Mediated various disputes on behalf of the University Mediation Program.</w:t>
      </w:r>
    </w:p>
    <w:sectPr>
      <w:type w:val="nextPage"/>
      <w:pgSz w:w="12240" w:h="15840"/>
      <w:pgMar w:left="1008" w:right="1008"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sz w:val="2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1">
    <w:name w:val="Address 1"/>
    <w:basedOn w:val="Normal"/>
    <w:qFormat/>
    <w:pPr>
      <w:spacing w:lineRule="atLeast" w:line="160"/>
      <w:jc w:val="both"/>
    </w:pPr>
    <w:rPr>
      <w:rFonts w:ascii="Arial" w:hAnsi="Arial" w:cs="Arial"/>
      <w:sz w:val="14"/>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2000-12-27T18:28:00Z</dcterms:created>
  <dc:creator>Authorised User</dc:creator>
  <dc:description/>
  <dc:language>en-CA</dc:language>
  <cp:lastModifiedBy>Lisa Jones</cp:lastModifiedBy>
  <cp:lastPrinted>2000-01-25T12:16:00Z</cp:lastPrinted>
  <dcterms:modified xsi:type="dcterms:W3CDTF">2000-12-27T18:28:00Z</dcterms:modified>
  <cp:revision>2</cp:revision>
  <dc:subject/>
  <dc:title>JEFFREY IRA SNYDER</dc:title>
</cp:coreProperties>
</file>