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sz w:val="16"/>
        </w:rPr>
      </w:pPr>
      <w:r>
        <w:rPr>
          <w:sz w:val="16"/>
        </w:rPr>
      </w:r>
    </w:p>
    <w:p>
      <w:pPr>
        <w:pStyle w:val="Heading1"/>
        <w:ind w:hanging="0" w:start="0"/>
        <w:rPr/>
      </w:pPr>
      <w:r>
        <w:rPr/>
        <w:t>JEDI</w:t>
      </w:r>
    </w:p>
    <w:p>
      <w:pPr>
        <w:pStyle w:val="Normal"/>
        <w:spacing w:lineRule="auto" w:line="360"/>
        <w:jc w:val="both"/>
        <w:rPr/>
      </w:pPr>
      <w:r>
        <w:rPr/>
      </w:r>
    </w:p>
    <w:p>
      <w:pPr>
        <w:pStyle w:val="Normal"/>
        <w:spacing w:lineRule="auto" w:line="360"/>
        <w:jc w:val="both"/>
        <w:rPr/>
      </w:pPr>
      <w:r>
        <w:rPr/>
        <w:t xml:space="preserve">Enron and CalPERS formed their first investment partnership, Joint Energy Development Investments Limited Partnership (“JEDI”) in June 1993.  In 1992, CalPERS approved a plan to invest up to 5% of its portfolio into its Alternative Investment Management Program (“AIM”).  Through its partnership with Enron, JEDI became one of CalPERS’ first investments under this new program.  CalPERS, already a significant holder of Enron Corp. and Enron Oil and Gas Company common stock at the time, sought to invest in a more direct fashion into Enron’s natural gas and energy-related businesses.  The AIM fund commitment to JEDI represented the largest single direct investment by the AIM Program. </w:t>
      </w:r>
    </w:p>
    <w:p>
      <w:pPr>
        <w:pStyle w:val="Normal"/>
        <w:spacing w:lineRule="auto" w:line="360"/>
        <w:jc w:val="both"/>
        <w:rPr/>
      </w:pPr>
      <w:r>
        <w:rPr/>
      </w:r>
    </w:p>
    <w:p>
      <w:pPr>
        <w:pStyle w:val="Normal"/>
        <w:spacing w:lineRule="auto" w:line="360"/>
        <w:jc w:val="both"/>
        <w:rPr/>
      </w:pPr>
      <w:r>
        <w:rPr/>
        <w:t xml:space="preserve">For CalPERS, JEDI represented its first ever direct investment with a Fortune 500 company.  With each Partner contributing $250 million in equity and with the support of the bank market in the form of the $490 million JEDI Revolver, JEDI became Enron’s premier investment vehicle focused on energy finance and investment activities in the United States and Canada.  </w:t>
      </w:r>
    </w:p>
    <w:p>
      <w:pPr>
        <w:pStyle w:val="Normal"/>
        <w:spacing w:lineRule="auto" w:line="360"/>
        <w:jc w:val="both"/>
        <w:rPr/>
      </w:pPr>
      <w:r>
        <w:rPr/>
      </w:r>
    </w:p>
    <w:p>
      <w:pPr>
        <w:pStyle w:val="BodyText"/>
        <w:widowControl w:val="false"/>
        <w:spacing w:lineRule="auto" w:line="360"/>
        <w:jc w:val="start"/>
        <w:rPr/>
      </w:pPr>
      <w:r>
        <w:rPr/>
        <w:t>Since its inception, JEDI has invested a total of approx.$2.1 billion in 74 transactions.  During this time, 31 investments have been exited. The Partners contributed the entire $500 million of equity capital during  the two and one-half year period beginning in December 1993 and ending in June 1996. The following is a breakdown of the types of investments made by JEDI:</w:t>
        <w:br/>
      </w:r>
    </w:p>
    <w:tbl>
      <w:tblPr>
        <w:tblW w:w="5598" w:type="dxa"/>
        <w:jc w:val="start"/>
        <w:tblInd w:w="1080" w:type="dxa"/>
        <w:tblLayout w:type="fixed"/>
        <w:tblCellMar>
          <w:top w:w="0" w:type="dxa"/>
          <w:start w:w="108" w:type="dxa"/>
          <w:bottom w:w="0" w:type="dxa"/>
          <w:end w:w="108" w:type="dxa"/>
        </w:tblCellMar>
      </w:tblPr>
      <w:tblGrid>
        <w:gridCol w:w="3888"/>
        <w:gridCol w:w="1710"/>
      </w:tblGrid>
      <w:tr>
        <w:trPr/>
        <w:tc>
          <w:tcPr>
            <w:tcW w:w="3888"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jc w:val="center"/>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jc w:val="center"/>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Loans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55%</w:t>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Private Equity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12%</w:t>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Public Equity (including Enron Stock</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25%</w:t>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Partnerships/ORRI/Working Interests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8%</w:t>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jc w:val="center"/>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100%</w:t>
            </w:r>
          </w:p>
        </w:tc>
      </w:tr>
    </w:tbl>
    <w:p>
      <w:pPr>
        <w:pStyle w:val="BodyText"/>
        <w:spacing w:lineRule="auto" w:line="360"/>
        <w:rPr/>
      </w:pPr>
      <w:r>
        <w:rPr/>
      </w:r>
    </w:p>
    <w:p>
      <w:pPr>
        <w:pStyle w:val="BodyText"/>
        <w:spacing w:lineRule="auto" w:line="360"/>
        <w:rPr/>
      </w:pPr>
      <w:r>
        <w:rPr/>
        <w:t>The exits have typically been achieved through either repayments of loans or sale of public and private equity positions.</w:t>
      </w:r>
    </w:p>
    <w:p>
      <w:pPr>
        <w:pStyle w:val="BodyText"/>
        <w:spacing w:lineRule="auto" w:line="360"/>
        <w:rPr/>
      </w:pPr>
      <w:r>
        <w:rPr/>
      </w:r>
    </w:p>
    <w:p>
      <w:pPr>
        <w:pStyle w:val="BodyText"/>
        <w:spacing w:lineRule="auto" w:line="360"/>
        <w:rPr/>
      </w:pPr>
      <w:r>
        <w:rPr/>
        <w:t xml:space="preserve">In November 1997, JEDI redeemed CalPERS’ limited partnership interest, allowing CalPERS to realize a 22.5% IRR on cash invested.  </w:t>
      </w:r>
    </w:p>
    <w:p>
      <w:pPr>
        <w:pStyle w:val="BodyText"/>
        <w:spacing w:lineRule="auto" w:line="360"/>
        <w:rPr/>
      </w:pPr>
      <w:r>
        <w:rPr/>
      </w:r>
    </w:p>
    <w:p>
      <w:pPr>
        <w:pStyle w:val="BodyText"/>
        <w:spacing w:lineRule="auto" w:line="360"/>
        <w:rPr/>
      </w:pPr>
      <w:r>
        <w:rPr/>
      </w:r>
    </w:p>
    <w:p>
      <w:pPr>
        <w:pStyle w:val="BodyText"/>
        <w:spacing w:lineRule="auto" w:line="360"/>
        <w:rPr>
          <w:b/>
          <w:sz w:val="16"/>
        </w:rPr>
      </w:pPr>
      <w:r>
        <w:rPr>
          <w:b/>
          <w:sz w:val="16"/>
        </w:rPr>
      </w:r>
    </w:p>
    <w:p>
      <w:pPr>
        <w:pStyle w:val="Heading1"/>
        <w:ind w:hanging="0" w:start="0"/>
        <w:rPr/>
      </w:pPr>
      <w:r>
        <w:rPr/>
        <w:t xml:space="preserve">JEDI II </w:t>
      </w:r>
    </w:p>
    <w:p>
      <w:pPr>
        <w:pStyle w:val="Normal"/>
        <w:spacing w:lineRule="auto" w:line="360"/>
        <w:jc w:val="both"/>
        <w:rPr/>
      </w:pPr>
      <w:r>
        <w:rPr/>
        <w:t xml:space="preserve">Affiliates of Enron and CalPERS, following the success of their first partnership JEDI, formed a second 50/50 partnership, JEDI II, in December 1997.  JEDI II is focused on global energy-related financing and investment opportunities. Energy-related opportunities include investments relating to natural gas, crude oil, coal, electricity and other forms of energy or investments in facilities designed to explore for, develop, produce, transmit, generate, store or manufacture various types of energy.  Under the terms of the JEDI II Partnership Agreement, up to 40% of JEDI II’s total equity capitalization may be invested outside the United States and Canada.  </w:t>
      </w:r>
    </w:p>
    <w:p>
      <w:pPr>
        <w:pStyle w:val="Normal"/>
        <w:spacing w:lineRule="auto" w:line="360"/>
        <w:jc w:val="both"/>
        <w:rPr/>
      </w:pPr>
      <w:r>
        <w:rPr/>
      </w:r>
    </w:p>
    <w:p>
      <w:pPr>
        <w:pStyle w:val="Normal"/>
        <w:spacing w:lineRule="auto" w:line="360"/>
        <w:jc w:val="both"/>
        <w:rPr/>
      </w:pPr>
      <w:r>
        <w:rPr/>
        <w:t>Each have committed to contribute $500 million, for a total of $1 billion in partnership capital within a three year commitment period, expiring December 31, 2000.  To date (October 30, 1998) $92.5 million in equity capital has been contributed by the partners.</w:t>
      </w:r>
    </w:p>
    <w:p>
      <w:pPr>
        <w:pStyle w:val="BodyText"/>
        <w:spacing w:lineRule="auto" w:line="360" w:before="0" w:after="120"/>
        <w:rPr/>
      </w:pPr>
      <w:r>
        <w:rPr/>
      </w:r>
    </w:p>
    <w:p>
      <w:pPr>
        <w:pStyle w:val="BodyText"/>
        <w:widowControl w:val="false"/>
        <w:spacing w:lineRule="auto" w:line="360"/>
        <w:jc w:val="start"/>
        <w:rPr/>
      </w:pPr>
      <w:r>
        <w:rPr/>
        <w:t>Since its inception in December 1997, JEDI II has invested approximately $521 million as of October 30, 1998.  All of the current investments are located in North America. The following is a breakdown of the types of investments made by JEDI II:</w:t>
        <w:br/>
      </w:r>
    </w:p>
    <w:tbl>
      <w:tblPr>
        <w:tblW w:w="5598" w:type="dxa"/>
        <w:jc w:val="start"/>
        <w:tblInd w:w="1080" w:type="dxa"/>
        <w:tblLayout w:type="fixed"/>
        <w:tblCellMar>
          <w:top w:w="0" w:type="dxa"/>
          <w:start w:w="108" w:type="dxa"/>
          <w:bottom w:w="0" w:type="dxa"/>
          <w:end w:w="108" w:type="dxa"/>
        </w:tblCellMar>
      </w:tblPr>
      <w:tblGrid>
        <w:gridCol w:w="3888"/>
        <w:gridCol w:w="1710"/>
      </w:tblGrid>
      <w:tr>
        <w:trPr/>
        <w:tc>
          <w:tcPr>
            <w:tcW w:w="3888"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jc w:val="center"/>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jc w:val="center"/>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Loans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44%</w:t>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Private Equity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35%</w:t>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 xml:space="preserve">Public Equity </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3%</w:t>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Partnerships/ORRI/Working Interests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18%</w:t>
            </w:r>
          </w:p>
        </w:tc>
      </w:tr>
      <w:tr>
        <w:trPr/>
        <w:tc>
          <w:tcPr>
            <w:tcW w:w="3888"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jc w:val="center"/>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lineRule="auto" w:line="360"/>
              <w:jc w:val="center"/>
              <w:rPr/>
            </w:pPr>
            <w:r>
              <w:rPr/>
              <w:t>100%</w:t>
            </w:r>
          </w:p>
        </w:tc>
      </w:tr>
    </w:tbl>
    <w:p>
      <w:pPr>
        <w:pStyle w:val="BodyText"/>
        <w:spacing w:lineRule="auto" w:line="360" w:before="0" w:after="120"/>
        <w:rPr>
          <w:sz w:val="16"/>
        </w:rPr>
      </w:pPr>
      <w:r>
        <w:rPr>
          <w:sz w:val="16"/>
        </w:rPr>
      </w:r>
    </w:p>
    <w:sectPr>
      <w:headerReference w:type="default" r:id="rId2"/>
      <w:footerReference w:type="default" r:id="rId3"/>
      <w:type w:val="nextPage"/>
      <w:pgSz w:w="12240" w:h="15840"/>
      <w:pgMar w:left="1080" w:right="1080" w:gutter="0" w:header="576"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065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49.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b/>
        <w:i/>
        <w:i/>
      </w:rPr>
    </w:pPr>
    <w:r>
      <w:rPr>
        <w:b/>
        <w:i/>
      </w:rPr>
      <w:tab/>
      <w:t>Confidential</w:t>
    </w:r>
  </w:p>
  <w:p>
    <w:pPr>
      <w:pStyle w:val="Header"/>
      <w:tabs>
        <w:tab w:val="clear" w:pos="4320"/>
        <w:tab w:val="clear" w:pos="8640"/>
        <w:tab w:val="right" w:pos="9090" w:leader="none"/>
      </w:tabs>
      <w:spacing w:before="0" w:after="360"/>
      <w:rPr>
        <w:b/>
        <w:i/>
        <w:i/>
        <w:lang w:val="en-CA"/>
      </w:rPr>
    </w:pPr>
    <w:r>
      <w:rPr>
        <w:b/>
        <w:i/>
        <w:lang w:val="en-CA"/>
      </w:rPr>
      <mc:AlternateContent>
        <mc:Choice Requires="wps">
          <w:drawing>
            <wp:anchor behindDoc="1" distT="0" distB="0" distL="114935" distR="114935" simplePos="0" locked="0" layoutInCell="1" allowOverlap="1" relativeHeight="5">
              <wp:simplePos x="0" y="0"/>
              <wp:positionH relativeFrom="column">
                <wp:posOffset>-45720</wp:posOffset>
              </wp:positionH>
              <wp:positionV relativeFrom="paragraph">
                <wp:posOffset>113665</wp:posOffset>
              </wp:positionV>
              <wp:extent cx="5852160" cy="0"/>
              <wp:effectExtent l="0" t="19050" r="0" b="19050"/>
              <wp:wrapNone/>
              <wp:docPr id="1" name=""/>
              <a:graphic xmlns:a="http://schemas.openxmlformats.org/drawingml/2006/main">
                <a:graphicData uri="http://schemas.microsoft.com/office/word/2010/wordprocessingShape">
                  <wps:wsp>
                    <wps:cNvSpPr/>
                    <wps:spPr>
                      <a:xfrm>
                        <a:off x="0" y="0"/>
                        <a:ext cx="58521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6pt,8.95pt" to="457.15pt,8.95pt" stroked="t" o:allowincell="f" style="position:absolute">
              <v:stroke color="black" weight="3816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43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kern w:val="2"/>
      <w:sz w:val="24"/>
    </w:rPr>
  </w:style>
  <w:style w:type="paragraph" w:styleId="Heading2">
    <w:name w:val="heading 2"/>
    <w:basedOn w:val="Normal"/>
    <w:next w:val="Normal"/>
    <w:qFormat/>
    <w:pPr>
      <w:keepNext w:val="true"/>
      <w:spacing w:before="240" w:after="60"/>
      <w:outlineLvl w:val="1"/>
    </w:pPr>
    <w:rPr>
      <w:rFonts w:ascii="Arial" w:hAnsi="Arial" w:cs="Arial"/>
      <w:b/>
      <w:i/>
    </w:rPr>
  </w:style>
  <w:style w:type="paragraph" w:styleId="Heading3">
    <w:name w:val="heading 3"/>
    <w:basedOn w:val="Normal"/>
    <w:next w:val="Normal"/>
    <w:qFormat/>
    <w:pPr>
      <w:keepNext w:val="true"/>
      <w:spacing w:before="0" w:after="120"/>
      <w:jc w:val="both"/>
      <w:outlineLvl w:val="2"/>
    </w:pPr>
    <w:rPr>
      <w:rFonts w:ascii="Arial" w:hAnsi="Arial" w:cs="Arial"/>
      <w:b/>
    </w:rPr>
  </w:style>
  <w:style w:type="paragraph" w:styleId="Heading4">
    <w:name w:val="heading 4"/>
    <w:basedOn w:val="Normal"/>
    <w:next w:val="Normal"/>
    <w:qFormat/>
    <w:pPr>
      <w:keepNext w:val="true"/>
      <w:tabs>
        <w:tab w:val="clear" w:pos="432"/>
        <w:tab w:val="left" w:pos="288" w:leader="none"/>
        <w:tab w:val="left" w:pos="720" w:leader="none"/>
        <w:tab w:val="left" w:pos="2880" w:leader="none"/>
        <w:tab w:val="left" w:pos="4320" w:leader="none"/>
      </w:tabs>
      <w:outlineLvl w:val="3"/>
    </w:pPr>
    <w:rPr>
      <w:b/>
    </w:rPr>
  </w:style>
  <w:style w:type="paragraph" w:styleId="Heading5">
    <w:name w:val="heading 5"/>
    <w:basedOn w:val="Normal"/>
    <w:next w:val="Normal"/>
    <w:qFormat/>
    <w:pPr>
      <w:keepNext w:val="true"/>
      <w:outlineLvl w:val="4"/>
    </w:pPr>
    <w:rPr>
      <w:u w:val="single"/>
    </w:rPr>
  </w:style>
  <w:style w:type="paragraph" w:styleId="Heading6">
    <w:name w:val="heading 6"/>
    <w:basedOn w:val="Normal"/>
    <w:next w:val="Normal"/>
    <w:qFormat/>
    <w:pPr>
      <w:keepNext w:val="true"/>
      <w:jc w:val="center"/>
      <w:outlineLvl w:val="5"/>
    </w:pPr>
    <w:rPr>
      <w:b/>
    </w:rPr>
  </w:style>
  <w:style w:type="paragraph" w:styleId="Heading7">
    <w:name w:val="heading 7"/>
    <w:basedOn w:val="Normal"/>
    <w:next w:val="Normal"/>
    <w:qFormat/>
    <w:pPr>
      <w:keepNext w:val="true"/>
      <w:spacing w:lineRule="auto" w:line="360"/>
      <w:jc w:val="center"/>
      <w:outlineLvl w:val="6"/>
    </w:pPr>
    <w:rPr>
      <w:rFonts w:ascii="Arial" w:hAnsi="Arial" w:cs="Arial"/>
      <w:sz w:val="40"/>
    </w:rPr>
  </w:style>
  <w:style w:type="paragraph" w:styleId="Heading8">
    <w:name w:val="heading 8"/>
    <w:basedOn w:val="Normal"/>
    <w:next w:val="Normal"/>
    <w:qFormat/>
    <w:pPr>
      <w:keepNext w:val="true"/>
      <w:spacing w:lineRule="auto" w:line="360"/>
      <w:jc w:val="center"/>
      <w:outlineLvl w:val="7"/>
    </w:pPr>
    <w:rPr>
      <w:rFonts w:ascii="Arial" w:hAnsi="Arial" w:cs="Arial"/>
      <w:b/>
      <w:sz w:val="36"/>
    </w:rPr>
  </w:style>
  <w:style w:type="paragraph" w:styleId="Heading9">
    <w:name w:val="heading 9"/>
    <w:basedOn w:val="Normal"/>
    <w:next w:val="Normal"/>
    <w:qFormat/>
    <w:pPr>
      <w:keepNext w:val="true"/>
      <w:spacing w:lineRule="auto" w:line="360"/>
      <w:jc w:val="center"/>
      <w:outlineLvl w:val="8"/>
    </w:pPr>
    <w:rPr>
      <w:rFonts w:ascii="Arial" w:hAnsi="Arial" w:cs="Arial"/>
      <w:sz w:val="3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St21z0">
    <w:name w:val="WW8NumSt2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20" w:end="0"/>
    </w:pPr>
    <w:rPr>
      <w:smallCaps/>
      <w:sz w:val="20"/>
    </w:rPr>
  </w:style>
  <w:style w:type="paragraph" w:styleId="TOC3">
    <w:name w:val="toc 3"/>
    <w:basedOn w:val="Normal"/>
    <w:next w:val="Normal"/>
    <w:pPr>
      <w:tabs>
        <w:tab w:val="clear" w:pos="432"/>
        <w:tab w:val="right" w:pos="8630" w:leader="dot"/>
      </w:tabs>
      <w:ind w:hanging="280" w:start="720" w:end="0"/>
    </w:pPr>
    <w:rPr>
      <w:i/>
      <w:sz w:val="20"/>
      <w:lang w:val="en-CA"/>
    </w:rPr>
  </w:style>
  <w:style w:type="paragraph" w:styleId="TOC4">
    <w:name w:val="toc 4"/>
    <w:basedOn w:val="Normal"/>
    <w:next w:val="Normal"/>
    <w:pPr>
      <w:ind w:hanging="0" w:start="660" w:end="0"/>
    </w:pPr>
    <w:rPr>
      <w:sz w:val="18"/>
    </w:rPr>
  </w:style>
  <w:style w:type="paragraph" w:styleId="TOC5">
    <w:name w:val="toc 5"/>
    <w:basedOn w:val="Normal"/>
    <w:next w:val="Normal"/>
    <w:pPr>
      <w:ind w:hanging="0" w:start="880" w:end="0"/>
    </w:pPr>
    <w:rPr>
      <w:sz w:val="18"/>
    </w:rPr>
  </w:style>
  <w:style w:type="paragraph" w:styleId="TOC6">
    <w:name w:val="toc 6"/>
    <w:basedOn w:val="Normal"/>
    <w:next w:val="Normal"/>
    <w:pPr>
      <w:ind w:hanging="0" w:start="1100" w:end="0"/>
    </w:pPr>
    <w:rPr>
      <w:sz w:val="18"/>
    </w:rPr>
  </w:style>
  <w:style w:type="paragraph" w:styleId="TOC7">
    <w:name w:val="toc 7"/>
    <w:basedOn w:val="Normal"/>
    <w:next w:val="Normal"/>
    <w:pPr>
      <w:ind w:hanging="0" w:start="1320" w:end="0"/>
    </w:pPr>
    <w:rPr>
      <w:sz w:val="18"/>
    </w:rPr>
  </w:style>
  <w:style w:type="paragraph" w:styleId="TOC8">
    <w:name w:val="toc 8"/>
    <w:basedOn w:val="Normal"/>
    <w:next w:val="Normal"/>
    <w:pPr>
      <w:ind w:hanging="0" w:start="1540" w:end="0"/>
    </w:pPr>
    <w:rPr>
      <w:sz w:val="18"/>
    </w:rPr>
  </w:style>
  <w:style w:type="paragraph" w:styleId="TOC9">
    <w:name w:val="toc 9"/>
    <w:basedOn w:val="Normal"/>
    <w:next w:val="Normal"/>
    <w:pPr>
      <w:ind w:hanging="0" w:start="1760" w:end="0"/>
    </w:pPr>
    <w:rPr>
      <w:sz w:val="18"/>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8640" w:leader="none"/>
      </w:tabs>
    </w:pPr>
    <w:rPr/>
  </w:style>
  <w:style w:type="paragraph" w:styleId="BodyText2">
    <w:name w:val="Body Text 2"/>
    <w:basedOn w:val="Normal"/>
    <w:qFormat/>
    <w:pPr>
      <w:spacing w:lineRule="atLeast" w:line="240"/>
    </w:pPr>
    <w:rPr>
      <w:color w:val="000000"/>
      <w:lang w:eastAsia="en-US"/>
    </w:rPr>
  </w:style>
  <w:style w:type="paragraph" w:styleId="BodyText3">
    <w:name w:val="Body Text 3"/>
    <w:basedOn w:val="Normal"/>
    <w:qFormat/>
    <w:pPr/>
    <w:rPr>
      <w:color w:val="FF0000"/>
    </w:rPr>
  </w:style>
  <w:style w:type="paragraph" w:styleId="FootnoteText">
    <w:name w:val="footnote text"/>
    <w:basedOn w:val="Normal"/>
    <w:pPr/>
    <w:rPr>
      <w:sz w:val="20"/>
    </w:rPr>
  </w:style>
  <w:style w:type="paragraph" w:styleId="BodyTextIndent">
    <w:name w:val="Body Text Indent"/>
    <w:basedOn w:val="Normal"/>
    <w:pPr>
      <w:tabs>
        <w:tab w:val="clear" w:pos="432"/>
        <w:tab w:val="left" w:pos="-1080" w:leader="none"/>
        <w:tab w:val="left" w:pos="-720" w:leader="none"/>
        <w:tab w:val="left" w:pos="1" w:leader="none"/>
        <w:tab w:val="left" w:pos="2250" w:leader="none"/>
        <w:tab w:val="left" w:pos="3168" w:leader="none"/>
        <w:tab w:val="left" w:pos="3590" w:leader="none"/>
        <w:tab w:val="left" w:pos="432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430" w:start="2430" w:end="0"/>
      <w:jc w:val="both"/>
    </w:pPr>
    <w:rPr/>
  </w:style>
  <w:style w:type="paragraph" w:styleId="BodyTextIndent2">
    <w:name w:val="Body Text Indent 2"/>
    <w:basedOn w:val="Normal"/>
    <w:qFormat/>
    <w:pPr>
      <w:tabs>
        <w:tab w:val="clear" w:pos="432"/>
        <w:tab w:val="left" w:pos="-1080" w:leader="none"/>
        <w:tab w:val="left" w:pos="-720" w:leader="none"/>
        <w:tab w:val="left" w:pos="1" w:leader="none"/>
        <w:tab w:val="left" w:pos="432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960" w:start="3960" w:end="0"/>
      <w:jc w:val="both"/>
    </w:pPr>
    <w:rPr/>
  </w:style>
  <w:style w:type="paragraph" w:styleId="BodyTextIndent3">
    <w:name w:val="Body Text Indent 3"/>
    <w:basedOn w:val="Normal"/>
    <w:qFormat/>
    <w:pPr>
      <w:spacing w:before="0" w:after="120"/>
      <w:ind w:hanging="27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1998-10-27T15:05:00Z</dcterms:created>
  <dc:creator>Jungsuk Suh</dc:creator>
  <dc:description/>
  <dc:language>en-CA</dc:language>
  <cp:lastModifiedBy>Shirley Hudler</cp:lastModifiedBy>
  <cp:lastPrinted>1998-10-27T12:35:00Z</cp:lastPrinted>
  <dcterms:modified xsi:type="dcterms:W3CDTF">1998-10-27T16:05:00Z</dcterms:modified>
  <cp:revision>6</cp:revision>
  <dc:subject/>
  <dc:title>JEDI II Overview</dc:title>
</cp:coreProperties>
</file>