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both"/>
        <w:rPr>
          <w:sz w:val="20"/>
        </w:rPr>
      </w:pPr>
      <w:r>
        <w:rPr>
          <w:sz w:val="20"/>
        </w:rPr>
        <w:tab/>
        <w:tab/>
        <w:tab/>
        <w:tab/>
        <w:tab/>
        <w:tab/>
        <w:t>April 23, 2001</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Mr. Jon A. Jaworski</w:t>
      </w:r>
    </w:p>
    <w:p>
      <w:pPr>
        <w:pStyle w:val="Normal"/>
        <w:jc w:val="both"/>
        <w:rPr>
          <w:sz w:val="20"/>
        </w:rPr>
      </w:pPr>
      <w:r>
        <w:rPr>
          <w:sz w:val="20"/>
        </w:rPr>
        <w:t>Attorney at Law</w:t>
      </w:r>
    </w:p>
    <w:p>
      <w:pPr>
        <w:pStyle w:val="Normal"/>
        <w:jc w:val="both"/>
        <w:rPr>
          <w:sz w:val="20"/>
        </w:rPr>
      </w:pPr>
      <w:r>
        <w:rPr>
          <w:sz w:val="20"/>
        </w:rPr>
        <w:t>11500 Northwest Freeway, Suite 315</w:t>
      </w:r>
    </w:p>
    <w:p>
      <w:pPr>
        <w:pStyle w:val="Normal"/>
        <w:jc w:val="both"/>
        <w:rPr>
          <w:sz w:val="20"/>
        </w:rPr>
      </w:pPr>
      <w:r>
        <w:rPr>
          <w:sz w:val="20"/>
        </w:rPr>
        <w:t>Houston, Texas 77092</w:t>
      </w:r>
    </w:p>
    <w:p>
      <w:pPr>
        <w:pStyle w:val="Normal"/>
        <w:jc w:val="both"/>
        <w:rPr>
          <w:sz w:val="20"/>
        </w:rPr>
      </w:pPr>
      <w:r>
        <w:rPr>
          <w:sz w:val="20"/>
        </w:rPr>
      </w:r>
    </w:p>
    <w:p>
      <w:pPr>
        <w:pStyle w:val="Normal"/>
        <w:ind w:hanging="720" w:start="1440" w:end="0"/>
        <w:jc w:val="both"/>
        <w:rPr/>
      </w:pPr>
      <w:r>
        <w:rPr>
          <w:sz w:val="20"/>
        </w:rPr>
        <w:t>Re:</w:t>
        <w:tab/>
        <w:t>Case No. 2001-00872; In the matter of the marriage of Dana Loavonne Lorfing and Herbert Rodney Lorfing; and in the interest of Haley Rose Lorfing, a minor child; in the 312</w:t>
      </w:r>
      <w:r>
        <w:rPr>
          <w:sz w:val="20"/>
          <w:vertAlign w:val="superscript"/>
        </w:rPr>
        <w:t>th</w:t>
      </w:r>
      <w:r>
        <w:rPr>
          <w:sz w:val="20"/>
        </w:rPr>
        <w:t xml:space="preserve"> Judicial District Court of Harris County, Texas</w:t>
      </w:r>
    </w:p>
    <w:p>
      <w:pPr>
        <w:pStyle w:val="Normal"/>
        <w:jc w:val="both"/>
        <w:rPr>
          <w:sz w:val="20"/>
        </w:rPr>
      </w:pPr>
      <w:r>
        <w:rPr>
          <w:sz w:val="20"/>
        </w:rPr>
      </w:r>
    </w:p>
    <w:p>
      <w:pPr>
        <w:pStyle w:val="Normal"/>
        <w:jc w:val="both"/>
        <w:rPr>
          <w:sz w:val="20"/>
        </w:rPr>
      </w:pPr>
      <w:r>
        <w:rPr>
          <w:sz w:val="20"/>
        </w:rPr>
        <w:t>Dear Mr. Jaworski:</w:t>
      </w:r>
    </w:p>
    <w:p>
      <w:pPr>
        <w:pStyle w:val="Normal"/>
        <w:jc w:val="both"/>
        <w:rPr>
          <w:sz w:val="20"/>
        </w:rPr>
      </w:pPr>
      <w:r>
        <w:rPr>
          <w:sz w:val="20"/>
        </w:rPr>
      </w:r>
    </w:p>
    <w:p>
      <w:pPr>
        <w:pStyle w:val="Normal"/>
        <w:jc w:val="both"/>
        <w:rPr/>
      </w:pPr>
      <w:r>
        <w:rPr>
          <w:sz w:val="20"/>
        </w:rPr>
        <w:tab/>
        <w:t>I am writing this letter in reply to your statement dated April 5, 2001.  I am extremely puzzled by the time spent according to the statement versus the time that you spent with me on January 25</w:t>
      </w:r>
      <w:r>
        <w:rPr>
          <w:sz w:val="20"/>
          <w:vertAlign w:val="superscript"/>
        </w:rPr>
        <w:t>th</w:t>
      </w:r>
      <w:r>
        <w:rPr>
          <w:sz w:val="20"/>
        </w:rPr>
        <w:t xml:space="preserve"> and February 6</w:t>
      </w:r>
      <w:r>
        <w:rPr>
          <w:sz w:val="20"/>
          <w:vertAlign w:val="superscript"/>
        </w:rPr>
        <w:t>th</w:t>
      </w:r>
      <w:r>
        <w:rPr>
          <w:sz w:val="20"/>
        </w:rPr>
        <w:t>.  Most of the time I spent on those days was waiting for you to come back from “some other court”.  The most that you were with me on the 25</w:t>
      </w:r>
      <w:r>
        <w:rPr>
          <w:sz w:val="20"/>
          <w:vertAlign w:val="superscript"/>
        </w:rPr>
        <w:t>th</w:t>
      </w:r>
      <w:r>
        <w:rPr>
          <w:sz w:val="20"/>
        </w:rPr>
        <w:t xml:space="preserve"> was about a third of the time you noted on the statement.  The same was true for the time spent on February 6</w:t>
      </w:r>
      <w:r>
        <w:rPr>
          <w:sz w:val="20"/>
          <w:vertAlign w:val="superscript"/>
        </w:rPr>
        <w:t>th</w:t>
      </w:r>
      <w:r>
        <w:rPr>
          <w:sz w:val="20"/>
        </w:rPr>
        <w:t xml:space="preserve">.  On that date, when you finally did get there, you seemed to be in a hurry and suggested that I to sign the temporary custody agreement if I could live with the split arrangement until the end of the month when it would be changed.  You indicated to the Mediator that you didn’t need to read the agreement because it was temporary.  That temporary agreement is still in effect and according to its terms can only be changed by the Mediator in case of an emergency.  I only signed the agreement because you as my attorney suggested that I sign it, that it was a temporary “bandaide” order and that it would be changed when we went to court by the end of the month.  </w:t>
      </w:r>
    </w:p>
    <w:p>
      <w:pPr>
        <w:pStyle w:val="Normal"/>
        <w:jc w:val="both"/>
        <w:rPr>
          <w:sz w:val="20"/>
        </w:rPr>
      </w:pPr>
      <w:r>
        <w:rPr>
          <w:sz w:val="20"/>
        </w:rPr>
      </w:r>
    </w:p>
    <w:p>
      <w:pPr>
        <w:pStyle w:val="Normal"/>
        <w:ind w:firstLine="720" w:end="0"/>
        <w:jc w:val="both"/>
        <w:rPr/>
      </w:pPr>
      <w:r>
        <w:rPr>
          <w:sz w:val="20"/>
        </w:rPr>
        <w:t>Furthermore, you confirmed to me that we had a hearing set for February 16</w:t>
      </w:r>
      <w:r>
        <w:rPr>
          <w:sz w:val="20"/>
          <w:vertAlign w:val="superscript"/>
        </w:rPr>
        <w:t>th</w:t>
      </w:r>
      <w:r>
        <w:rPr>
          <w:sz w:val="20"/>
        </w:rPr>
        <w:t>, however, on that date my case had not been put on the docket.  It wasn’t until several days later that you stated that the agreement you suggested I sign was binding on the court.  I shouldn’t be responsible for time you thereafter spent doing something that you confirmed to me was already done.</w:t>
      </w:r>
    </w:p>
    <w:p>
      <w:pPr>
        <w:pStyle w:val="Normal"/>
        <w:ind w:firstLine="720" w:end="0"/>
        <w:jc w:val="both"/>
        <w:rPr>
          <w:sz w:val="20"/>
        </w:rPr>
      </w:pPr>
      <w:r>
        <w:rPr>
          <w:sz w:val="20"/>
        </w:rPr>
      </w:r>
    </w:p>
    <w:p>
      <w:pPr>
        <w:pStyle w:val="Normal"/>
        <w:ind w:firstLine="720" w:end="0"/>
        <w:jc w:val="both"/>
        <w:rPr>
          <w:sz w:val="20"/>
        </w:rPr>
      </w:pPr>
      <w:r>
        <w:rPr>
          <w:sz w:val="20"/>
        </w:rPr>
        <w:t>Although I am convinced that you misrepresnted my case, I understand that I signed a contract agreeing to pay you a total of $2,750.00.  According to my records, I have paid $1,542.00.  I will pay the balance that I owe, however, it is costing me a lot of money to undo what you had me sign as being a bandaide agreement.  Based on your previous statement to me that I could pay the remaining balance at $100 or such other amount as I had available each month, I have enclosed a check for $50.00 for you to apply to my account.  I will try to pay a like amount each month until the remaining balance is paid.</w:t>
      </w:r>
    </w:p>
    <w:p>
      <w:pPr>
        <w:pStyle w:val="Normal"/>
        <w:ind w:firstLine="720" w:end="0"/>
        <w:jc w:val="both"/>
        <w:rPr>
          <w:sz w:val="20"/>
        </w:rPr>
      </w:pPr>
      <w:r>
        <w:rPr>
          <w:sz w:val="20"/>
        </w:rPr>
      </w:r>
    </w:p>
    <w:p>
      <w:pPr>
        <w:pStyle w:val="Normal"/>
        <w:ind w:firstLine="720" w:end="0"/>
        <w:jc w:val="both"/>
        <w:rPr>
          <w:sz w:val="20"/>
        </w:rPr>
      </w:pPr>
      <w:r>
        <w:rPr>
          <w:sz w:val="20"/>
        </w:rPr>
        <w:tab/>
        <w:tab/>
        <w:tab/>
        <w:tab/>
        <w:tab/>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2001-04-23T17:50:00Z</dcterms:created>
  <dc:creator>dhyvl</dc:creator>
  <dc:description/>
  <dc:language>en-CA</dc:language>
  <cp:lastModifiedBy>dhyvl</cp:lastModifiedBy>
  <dcterms:modified xsi:type="dcterms:W3CDTF">2001-04-23T19:10:00Z</dcterms:modified>
  <cp:revision>1</cp:revision>
  <dc:subject/>
  <dc:title/>
</cp:coreProperties>
</file>