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720" w:leader="none"/>
          <w:tab w:val="right" w:pos="10800" w:leader="none"/>
        </w:tabs>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tabs>
          <w:tab w:val="left" w:pos="720" w:leader="none"/>
          <w:tab w:val="right" w:pos="10800" w:leader="none"/>
        </w:tabs>
        <w:rPr/>
      </w:pPr>
      <w:r>
        <w:rPr/>
      </w:r>
    </w:p>
    <w:tbl>
      <w:tblPr>
        <w:tblW w:w="10708" w:type="dxa"/>
        <w:jc w:val="start"/>
        <w:tblInd w:w="200" w:type="dxa"/>
        <w:tblLayout w:type="fixed"/>
        <w:tblCellMar>
          <w:top w:w="0" w:type="dxa"/>
          <w:start w:w="108" w:type="dxa"/>
          <w:bottom w:w="0" w:type="dxa"/>
          <w:end w:w="108" w:type="dxa"/>
        </w:tblCellMar>
      </w:tblPr>
      <w:tblGrid>
        <w:gridCol w:w="898"/>
        <w:gridCol w:w="5400"/>
        <w:gridCol w:w="1445"/>
        <w:gridCol w:w="2965"/>
      </w:tblGrid>
      <w:tr>
        <w:trPr>
          <w:trHeight w:val="300" w:hRule="exact"/>
        </w:trPr>
        <w:tc>
          <w:tcPr>
            <w:tcW w:w="898" w:type="dxa"/>
            <w:tcBorders/>
          </w:tcPr>
          <w:p>
            <w:pPr>
              <w:pStyle w:val="Normal"/>
              <w:tabs>
                <w:tab w:val="clear" w:pos="540"/>
                <w:tab w:val="left" w:pos="720" w:leader="none"/>
                <w:tab w:val="right" w:pos="10800" w:leader="none"/>
              </w:tabs>
              <w:ind w:start="-180" w:end="0"/>
              <w:jc w:val="end"/>
              <w:rPr/>
            </w:pPr>
            <w:r>
              <w:rPr/>
              <w:t>To:</w:t>
            </w:r>
          </w:p>
        </w:tc>
        <w:tc>
          <w:tcPr>
            <w:tcW w:w="5400" w:type="dxa"/>
            <w:tcBorders/>
          </w:tcPr>
          <w:p>
            <w:pPr>
              <w:pStyle w:val="To"/>
              <w:tabs>
                <w:tab w:val="left" w:pos="720" w:leader="none"/>
                <w:tab w:val="right" w:pos="10800" w:leader="none"/>
              </w:tabs>
              <w:rPr>
                <w:sz w:val="22"/>
              </w:rPr>
            </w:pPr>
            <w:bookmarkStart w:id="0" w:name="to"/>
            <w:bookmarkEnd w:id="0"/>
            <w:r>
              <w:rPr>
                <w:sz w:val="22"/>
              </w:rPr>
              <w:t xml:space="preserve">James V. Derrick, Jr.          VIA CC:MAIL </w:t>
            </w:r>
          </w:p>
        </w:tc>
        <w:tc>
          <w:tcPr>
            <w:tcW w:w="1445" w:type="dxa"/>
            <w:tcBorders/>
          </w:tcPr>
          <w:p>
            <w:pPr>
              <w:pStyle w:val="Normal"/>
              <w:tabs>
                <w:tab w:val="clear" w:pos="540"/>
                <w:tab w:val="left" w:pos="720" w:leader="none"/>
                <w:tab w:val="right" w:pos="10800" w:leader="none"/>
              </w:tabs>
              <w:snapToGrid w:val="false"/>
              <w:ind w:start="-180" w:end="0"/>
              <w:rPr>
                <w:sz w:val="22"/>
              </w:rPr>
            </w:pPr>
            <w:r>
              <w:rPr>
                <w:sz w:val="22"/>
              </w:rPr>
            </w:r>
          </w:p>
        </w:tc>
        <w:tc>
          <w:tcPr>
            <w:tcW w:w="2965" w:type="dxa"/>
            <w:tcBorders/>
          </w:tcPr>
          <w:p>
            <w:pPr>
              <w:pStyle w:val="Normal"/>
              <w:tabs>
                <w:tab w:val="clear" w:pos="540"/>
                <w:tab w:val="left" w:pos="720" w:leader="none"/>
                <w:tab w:val="right" w:pos="10800" w:leader="none"/>
              </w:tabs>
              <w:snapToGrid w:val="false"/>
              <w:rPr/>
            </w:pPr>
            <w:r>
              <w:rPr/>
            </w:r>
          </w:p>
        </w:tc>
      </w:tr>
      <w:tr>
        <w:trPr>
          <w:trHeight w:val="216" w:hRule="exact"/>
        </w:trPr>
        <w:tc>
          <w:tcPr>
            <w:tcW w:w="898" w:type="dxa"/>
            <w:tcBorders/>
          </w:tcPr>
          <w:p>
            <w:pPr>
              <w:pStyle w:val="Normal"/>
              <w:tabs>
                <w:tab w:val="clear" w:pos="540"/>
                <w:tab w:val="left" w:pos="720" w:leader="none"/>
                <w:tab w:val="right" w:pos="10800" w:leader="none"/>
              </w:tabs>
              <w:snapToGrid w:val="false"/>
              <w:ind w:start="-180" w:end="0"/>
              <w:jc w:val="end"/>
              <w:rPr/>
            </w:pPr>
            <w:r>
              <w:rPr/>
            </w:r>
          </w:p>
        </w:tc>
        <w:tc>
          <w:tcPr>
            <w:tcW w:w="5400" w:type="dxa"/>
            <w:tcBorders/>
          </w:tcPr>
          <w:p>
            <w:pPr>
              <w:pStyle w:val="Normal"/>
              <w:tabs>
                <w:tab w:val="clear" w:pos="540"/>
                <w:tab w:val="left" w:pos="720" w:leader="none"/>
                <w:tab w:val="right" w:pos="10800" w:leader="none"/>
              </w:tabs>
              <w:snapToGrid w:val="false"/>
              <w:rPr/>
            </w:pPr>
            <w:r>
              <w:rPr/>
            </w:r>
          </w:p>
        </w:tc>
        <w:tc>
          <w:tcPr>
            <w:tcW w:w="1445" w:type="dxa"/>
            <w:tcBorders/>
          </w:tcPr>
          <w:p>
            <w:pPr>
              <w:pStyle w:val="Normal"/>
              <w:tabs>
                <w:tab w:val="clear" w:pos="540"/>
                <w:tab w:val="left" w:pos="720" w:leader="none"/>
                <w:tab w:val="right" w:pos="10800" w:leader="none"/>
              </w:tabs>
              <w:snapToGrid w:val="false"/>
              <w:ind w:start="-180" w:end="0"/>
              <w:rPr/>
            </w:pPr>
            <w:r>
              <w:rPr/>
            </w:r>
          </w:p>
        </w:tc>
        <w:tc>
          <w:tcPr>
            <w:tcW w:w="2965" w:type="dxa"/>
            <w:tcBorders/>
          </w:tcPr>
          <w:p>
            <w:pPr>
              <w:pStyle w:val="Normal"/>
              <w:tabs>
                <w:tab w:val="clear" w:pos="540"/>
                <w:tab w:val="left" w:pos="720" w:leader="none"/>
                <w:tab w:val="right" w:pos="10800" w:leader="none"/>
              </w:tabs>
              <w:snapToGrid w:val="false"/>
              <w:rPr/>
            </w:pPr>
            <w:r>
              <w:rPr/>
            </w:r>
          </w:p>
        </w:tc>
      </w:tr>
      <w:tr>
        <w:trPr>
          <w:trHeight w:val="300" w:hRule="exact"/>
        </w:trPr>
        <w:tc>
          <w:tcPr>
            <w:tcW w:w="898" w:type="dxa"/>
            <w:tcBorders/>
          </w:tcPr>
          <w:p>
            <w:pPr>
              <w:pStyle w:val="Normal"/>
              <w:tabs>
                <w:tab w:val="clear" w:pos="540"/>
                <w:tab w:val="left" w:pos="720" w:leader="none"/>
                <w:tab w:val="right" w:pos="10800" w:leader="none"/>
              </w:tabs>
              <w:ind w:start="-180" w:end="0"/>
              <w:jc w:val="end"/>
              <w:rPr/>
            </w:pPr>
            <w:r>
              <w:rPr/>
              <w:t>From:</w:t>
            </w:r>
          </w:p>
        </w:tc>
        <w:tc>
          <w:tcPr>
            <w:tcW w:w="5400" w:type="dxa"/>
            <w:tcBorders/>
          </w:tcPr>
          <w:p>
            <w:pPr>
              <w:pStyle w:val="From"/>
              <w:tabs>
                <w:tab w:val="left" w:pos="720" w:leader="none"/>
                <w:tab w:val="right" w:pos="10800" w:leader="none"/>
              </w:tabs>
              <w:rPr>
                <w:sz w:val="22"/>
              </w:rPr>
            </w:pPr>
            <w:r>
              <w:rPr>
                <w:sz w:val="22"/>
              </w:rPr>
              <w:t>Michael P. Moran</w:t>
            </w:r>
          </w:p>
        </w:tc>
        <w:tc>
          <w:tcPr>
            <w:tcW w:w="1445" w:type="dxa"/>
            <w:tcBorders/>
          </w:tcPr>
          <w:p>
            <w:pPr>
              <w:pStyle w:val="Normal"/>
              <w:tabs>
                <w:tab w:val="clear" w:pos="540"/>
                <w:tab w:val="left" w:pos="720" w:leader="none"/>
                <w:tab w:val="right" w:pos="10800" w:leader="none"/>
              </w:tabs>
              <w:ind w:start="-180" w:end="0"/>
              <w:jc w:val="end"/>
              <w:rPr/>
            </w:pPr>
            <w:r>
              <w:rPr/>
              <w:t>Department:</w:t>
            </w:r>
          </w:p>
        </w:tc>
        <w:tc>
          <w:tcPr>
            <w:tcW w:w="2965" w:type="dxa"/>
            <w:tcBorders/>
          </w:tcPr>
          <w:p>
            <w:pPr>
              <w:pStyle w:val="Department"/>
              <w:tabs>
                <w:tab w:val="left" w:pos="720" w:leader="none"/>
                <w:tab w:val="right" w:pos="10800" w:leader="none"/>
              </w:tabs>
              <w:rPr>
                <w:sz w:val="22"/>
              </w:rPr>
            </w:pPr>
            <w:bookmarkStart w:id="1" w:name="From"/>
            <w:bookmarkEnd w:id="1"/>
            <w:r>
              <w:rPr>
                <w:sz w:val="22"/>
              </w:rPr>
              <w:t>GPG Law</w:t>
            </w:r>
          </w:p>
        </w:tc>
      </w:tr>
      <w:tr>
        <w:trPr>
          <w:trHeight w:val="216" w:hRule="exact"/>
        </w:trPr>
        <w:tc>
          <w:tcPr>
            <w:tcW w:w="898" w:type="dxa"/>
            <w:tcBorders/>
          </w:tcPr>
          <w:p>
            <w:pPr>
              <w:pStyle w:val="Normal"/>
              <w:tabs>
                <w:tab w:val="clear" w:pos="540"/>
                <w:tab w:val="left" w:pos="720" w:leader="none"/>
                <w:tab w:val="right" w:pos="10800" w:leader="none"/>
              </w:tabs>
              <w:snapToGrid w:val="false"/>
              <w:ind w:start="-180" w:end="0"/>
              <w:jc w:val="end"/>
              <w:rPr>
                <w:sz w:val="22"/>
              </w:rPr>
            </w:pPr>
            <w:r>
              <w:rPr>
                <w:sz w:val="22"/>
              </w:rPr>
            </w:r>
          </w:p>
        </w:tc>
        <w:tc>
          <w:tcPr>
            <w:tcW w:w="5400" w:type="dxa"/>
            <w:tcBorders/>
          </w:tcPr>
          <w:p>
            <w:pPr>
              <w:pStyle w:val="Normal"/>
              <w:tabs>
                <w:tab w:val="clear" w:pos="540"/>
                <w:tab w:val="left" w:pos="720" w:leader="none"/>
                <w:tab w:val="right" w:pos="10800" w:leader="none"/>
              </w:tabs>
              <w:snapToGrid w:val="false"/>
              <w:rPr/>
            </w:pPr>
            <w:r>
              <w:rPr/>
            </w:r>
          </w:p>
        </w:tc>
        <w:tc>
          <w:tcPr>
            <w:tcW w:w="1445" w:type="dxa"/>
            <w:tcBorders/>
          </w:tcPr>
          <w:p>
            <w:pPr>
              <w:pStyle w:val="Normal"/>
              <w:tabs>
                <w:tab w:val="clear" w:pos="540"/>
                <w:tab w:val="left" w:pos="720" w:leader="none"/>
                <w:tab w:val="right" w:pos="10800" w:leader="none"/>
              </w:tabs>
              <w:snapToGrid w:val="false"/>
              <w:ind w:start="-180" w:end="0"/>
              <w:rPr/>
            </w:pPr>
            <w:r>
              <w:rPr/>
            </w:r>
          </w:p>
        </w:tc>
        <w:tc>
          <w:tcPr>
            <w:tcW w:w="2965" w:type="dxa"/>
            <w:tcBorders/>
          </w:tcPr>
          <w:p>
            <w:pPr>
              <w:pStyle w:val="Normal"/>
              <w:tabs>
                <w:tab w:val="clear" w:pos="540"/>
                <w:tab w:val="left" w:pos="720" w:leader="none"/>
                <w:tab w:val="right" w:pos="10800" w:leader="none"/>
              </w:tabs>
              <w:snapToGrid w:val="false"/>
              <w:rPr/>
            </w:pPr>
            <w:r>
              <w:rPr/>
            </w:r>
          </w:p>
        </w:tc>
      </w:tr>
      <w:tr>
        <w:trPr>
          <w:trHeight w:val="600" w:hRule="exact"/>
        </w:trPr>
        <w:tc>
          <w:tcPr>
            <w:tcW w:w="898" w:type="dxa"/>
            <w:tcBorders>
              <w:bottom w:val="single" w:sz="18" w:space="0" w:color="000000"/>
            </w:tcBorders>
          </w:tcPr>
          <w:p>
            <w:pPr>
              <w:pStyle w:val="Normal"/>
              <w:tabs>
                <w:tab w:val="clear" w:pos="540"/>
                <w:tab w:val="left" w:pos="720" w:leader="none"/>
                <w:tab w:val="right" w:pos="10800" w:leader="none"/>
              </w:tabs>
              <w:ind w:start="-180" w:end="0"/>
              <w:jc w:val="end"/>
              <w:rPr/>
            </w:pPr>
            <w:r>
              <w:rPr/>
              <w:t>Subject:</w:t>
            </w:r>
          </w:p>
        </w:tc>
        <w:tc>
          <w:tcPr>
            <w:tcW w:w="5400" w:type="dxa"/>
            <w:tcBorders>
              <w:bottom w:val="single" w:sz="18" w:space="0" w:color="000000"/>
            </w:tcBorders>
          </w:tcPr>
          <w:p>
            <w:pPr>
              <w:pStyle w:val="Subject"/>
              <w:tabs>
                <w:tab w:val="left" w:pos="720" w:leader="none"/>
                <w:tab w:val="right" w:pos="10800" w:leader="none"/>
              </w:tabs>
              <w:rPr>
                <w:sz w:val="22"/>
              </w:rPr>
            </w:pPr>
            <w:bookmarkStart w:id="2" w:name="Subject"/>
            <w:bookmarkEnd w:id="2"/>
            <w:r>
              <w:rPr>
                <w:sz w:val="22"/>
              </w:rPr>
              <w:t>Monthly Significant Litigation Report-December</w:t>
            </w:r>
          </w:p>
          <w:p>
            <w:pPr>
              <w:pStyle w:val="Subject"/>
              <w:tabs>
                <w:tab w:val="left" w:pos="720" w:leader="none"/>
                <w:tab w:val="right" w:pos="10800" w:leader="none"/>
              </w:tabs>
              <w:rPr>
                <w:sz w:val="22"/>
              </w:rPr>
            </w:pPr>
            <w:r>
              <w:rPr>
                <w:sz w:val="22"/>
              </w:rPr>
            </w:r>
          </w:p>
        </w:tc>
        <w:tc>
          <w:tcPr>
            <w:tcW w:w="1445" w:type="dxa"/>
            <w:tcBorders>
              <w:bottom w:val="single" w:sz="18" w:space="0" w:color="000000"/>
            </w:tcBorders>
          </w:tcPr>
          <w:p>
            <w:pPr>
              <w:pStyle w:val="Normal"/>
              <w:tabs>
                <w:tab w:val="clear" w:pos="540"/>
                <w:tab w:val="left" w:pos="720" w:leader="none"/>
                <w:tab w:val="right" w:pos="10800" w:leader="none"/>
              </w:tabs>
              <w:ind w:start="-180" w:end="0"/>
              <w:jc w:val="end"/>
              <w:rPr/>
            </w:pPr>
            <w:r>
              <w:rPr/>
              <w:t>Date:</w:t>
            </w:r>
          </w:p>
        </w:tc>
        <w:tc>
          <w:tcPr>
            <w:tcW w:w="2965" w:type="dxa"/>
            <w:tcBorders>
              <w:bottom w:val="single" w:sz="18" w:space="0" w:color="000000"/>
            </w:tcBorders>
          </w:tcPr>
          <w:p>
            <w:pPr>
              <w:pStyle w:val="Date"/>
              <w:tabs>
                <w:tab w:val="left" w:pos="720" w:leader="none"/>
                <w:tab w:val="right" w:pos="10800" w:leader="none"/>
              </w:tabs>
              <w:rPr>
                <w:sz w:val="22"/>
              </w:rPr>
            </w:pPr>
            <w:r>
              <w:rPr>
                <w:sz w:val="22"/>
              </w:rPr>
              <w:t>December 30, 1999</w:t>
            </w:r>
          </w:p>
        </w:tc>
      </w:tr>
    </w:tbl>
    <w:p>
      <w:pPr>
        <w:pStyle w:val="Normal"/>
        <w:tabs>
          <w:tab w:val="left" w:pos="540" w:leader="none"/>
          <w:tab w:val="right" w:pos="10800" w:leader="none"/>
        </w:tabs>
        <w:rPr>
          <w:b/>
          <w:color w:val="000000"/>
        </w:rPr>
      </w:pPr>
      <w:r>
        <w:rPr>
          <w:b/>
          <w:color w:val="000000"/>
        </w:rPr>
      </w:r>
    </w:p>
    <w:p>
      <w:pPr>
        <w:pStyle w:val="Normal"/>
        <w:tabs>
          <w:tab w:val="left" w:pos="540" w:leader="none"/>
          <w:tab w:val="center" w:pos="5400" w:leader="none"/>
          <w:tab w:val="right" w:pos="10800" w:leader="none"/>
        </w:tabs>
        <w:rPr>
          <w:b/>
          <w:color w:val="000000"/>
        </w:rPr>
      </w:pPr>
      <w:r>
        <w:rPr>
          <w:b/>
          <w:color w:val="000000"/>
        </w:rPr>
        <w:tab/>
        <w:tab/>
        <w:t>PRIVILEGED AND CONFIDENTIAL</w:t>
      </w:r>
    </w:p>
    <w:p>
      <w:pPr>
        <w:pStyle w:val="Normal"/>
        <w:tabs>
          <w:tab w:val="left" w:pos="540" w:leader="none"/>
          <w:tab w:val="center" w:pos="5400" w:leader="none"/>
          <w:tab w:val="right" w:pos="10800" w:leader="none"/>
        </w:tabs>
        <w:rPr>
          <w:b/>
          <w:color w:val="000000"/>
        </w:rPr>
      </w:pPr>
      <w:r>
        <w:rPr>
          <w:b/>
          <w:color w:val="000000"/>
        </w:rPr>
        <w:tab/>
        <w:tab/>
        <w:t>COMMUNICATION AMONG ATTORNEYS</w:t>
      </w:r>
    </w:p>
    <w:p>
      <w:pPr>
        <w:pStyle w:val="Normal"/>
        <w:tabs>
          <w:tab w:val="left" w:pos="540" w:leader="none"/>
          <w:tab w:val="center" w:pos="5400" w:leader="none"/>
          <w:tab w:val="right" w:pos="10800" w:leader="none"/>
        </w:tabs>
        <w:rPr>
          <w:b/>
          <w:color w:val="000000"/>
        </w:rPr>
      </w:pPr>
      <w:r>
        <w:rPr>
          <w:b/>
          <w:color w:val="000000"/>
        </w:rPr>
      </w:r>
    </w:p>
    <w:p>
      <w:pPr>
        <w:pStyle w:val="Normal"/>
        <w:keepNext w:val="true"/>
        <w:tabs>
          <w:tab w:val="left" w:pos="540" w:leader="none"/>
          <w:tab w:val="center" w:pos="5400" w:leader="none"/>
          <w:tab w:val="right" w:pos="10800" w:leader="none"/>
        </w:tabs>
        <w:rPr/>
      </w:pPr>
      <w:r>
        <w:rPr>
          <w:b/>
        </w:rPr>
        <w:tab/>
        <w:tab/>
        <w:t xml:space="preserve">I. </w:t>
      </w:r>
      <w:r>
        <w:rPr>
          <w:b/>
          <w:u w:val="single"/>
        </w:rPr>
        <w:t>ENRON LIQUIDS HOLDING CORP.</w:t>
      </w:r>
    </w:p>
    <w:p>
      <w:pPr>
        <w:pStyle w:val="Footer"/>
        <w:keepNext w:val="true"/>
        <w:tabs>
          <w:tab w:val="clear" w:pos="4320"/>
          <w:tab w:val="clear" w:pos="8640"/>
          <w:tab w:val="left" w:pos="540" w:leader="none"/>
          <w:tab w:val="center" w:pos="5400" w:leader="none"/>
          <w:tab w:val="right" w:pos="10800" w:leader="none"/>
        </w:tabs>
        <w:rPr>
          <w:spacing w:val="-2"/>
        </w:rPr>
      </w:pPr>
      <w:r>
        <w:rPr>
          <w:spacing w:val="-2"/>
        </w:rPr>
      </w:r>
    </w:p>
    <w:p>
      <w:pPr>
        <w:pStyle w:val="Normal"/>
        <w:keepNext w:val="true"/>
        <w:tabs>
          <w:tab w:val="left" w:pos="540" w:leader="none"/>
          <w:tab w:val="center" w:pos="5400" w:leader="none"/>
          <w:tab w:val="right" w:pos="10800" w:leader="none"/>
        </w:tabs>
        <w:rPr/>
      </w:pPr>
      <w:r>
        <w:rPr>
          <w:b/>
        </w:rPr>
        <w:tab/>
        <w:tab/>
      </w:r>
      <w:r>
        <w:rPr>
          <w:b/>
          <w:u w:val="single"/>
        </w:rPr>
        <w:t>ENRON GAS PROCESSING COMPANY</w:t>
      </w:r>
    </w:p>
    <w:p>
      <w:pPr>
        <w:pStyle w:val="Normal"/>
        <w:keepNext w:val="true"/>
        <w:tabs>
          <w:tab w:val="left" w:pos="540" w:leader="none"/>
          <w:tab w:val="right" w:pos="10800" w:leader="none"/>
        </w:tabs>
        <w:jc w:val="both"/>
        <w:rPr>
          <w:b/>
          <w:u w:val="single"/>
        </w:rPr>
      </w:pPr>
      <w:r>
        <w:rPr>
          <w:b/>
          <w:u w:val="single"/>
        </w:rPr>
      </w:r>
    </w:p>
    <w:p>
      <w:pPr>
        <w:pStyle w:val="Normal"/>
        <w:keepNext w:val="true"/>
        <w:tabs>
          <w:tab w:val="left" w:pos="540" w:leader="none"/>
          <w:tab w:val="right" w:pos="10800" w:leader="none"/>
        </w:tabs>
        <w:jc w:val="both"/>
        <w:rPr>
          <w:b/>
        </w:rPr>
      </w:pPr>
      <w:r>
        <w:rPr>
          <w:b/>
          <w:u w:val="single"/>
        </w:rPr>
        <w:t>LITIGATION</w:t>
      </w:r>
    </w:p>
    <w:p>
      <w:pPr>
        <w:pStyle w:val="Normal"/>
        <w:keepNext w:val="true"/>
        <w:tabs>
          <w:tab w:val="left" w:pos="540" w:leader="none"/>
          <w:tab w:val="right" w:pos="10800" w:leader="none"/>
        </w:tabs>
        <w:jc w:val="both"/>
        <w:rPr>
          <w:b/>
        </w:rPr>
      </w:pPr>
      <w:r>
        <w:rPr>
          <w:b/>
        </w:rPr>
      </w:r>
    </w:p>
    <w:p>
      <w:pPr>
        <w:pStyle w:val="Normal"/>
        <w:keepNext w:val="true"/>
        <w:tabs>
          <w:tab w:val="left" w:pos="540" w:leader="none"/>
          <w:tab w:val="right" w:pos="10800" w:leader="none"/>
        </w:tabs>
        <w:ind w:hanging="547" w:start="547" w:end="0"/>
        <w:jc w:val="both"/>
        <w:rPr/>
      </w:pPr>
      <w:r>
        <w:rPr>
          <w:b/>
        </w:rPr>
        <w:t>1.</w:t>
        <w:tab/>
        <w:t>CIG Trailblazer Gas Company v. Enron Trailblazer Pipeline Company, et al.</w:t>
      </w:r>
      <w:r>
        <w:rPr/>
        <w:t xml:space="preserve"> </w:t>
      </w:r>
      <w:r>
        <w:rPr>
          <w:b/>
        </w:rPr>
        <w:t>(State Court, Laramie County, WY)</w:t>
      </w:r>
      <w:r>
        <w:rPr/>
        <w:t xml:space="preserve"> (Filed March 25, 1998) (Served March 31, 1998) </w:t>
      </w:r>
      <w:r>
        <w:rPr>
          <w:i/>
        </w:rPr>
        <w:t>(Hickey, Mackey, Evans, Walker &amp; Stewart shared with NGPL and Columbia Gulf)</w:t>
      </w:r>
      <w:r>
        <w:rPr/>
        <w:t xml:space="preserve"> </w:t>
      </w:r>
      <w:r>
        <w:rPr>
          <w:i/>
        </w:rPr>
        <w:t>(Vinson &amp; Elkins) (Litigation Unit - Davis) (Talcott)</w:t>
      </w:r>
      <w:r>
        <w:rPr/>
        <w:tab/>
      </w:r>
      <w:r>
        <w:rPr>
          <w:b/>
        </w:rPr>
        <w:t>NOT REVISED</w:t>
      </w:r>
    </w:p>
    <w:p>
      <w:pPr>
        <w:pStyle w:val="Normal"/>
        <w:numPr>
          <w:ilvl w:val="0"/>
          <w:numId w:val="20"/>
        </w:numPr>
        <w:tabs>
          <w:tab w:val="clear" w:pos="540"/>
        </w:tabs>
        <w:ind w:hanging="540" w:start="540" w:end="0"/>
        <w:jc w:val="both"/>
        <w:rPr/>
      </w:pPr>
      <w:r>
        <w:rPr/>
        <w:t>CAUSE OF ACTION:  Dispute over CIG’s alleged rights of participation in the operation of Trailblazer Pipeline.  CIG alleges breach of contract and seeks preliminary and permanent injunctive relief and declaratory relief.  No specified damages sought, but attorneys’ fees have been requested.</w:t>
      </w:r>
    </w:p>
    <w:p>
      <w:pPr>
        <w:pStyle w:val="Normal"/>
        <w:numPr>
          <w:ilvl w:val="0"/>
          <w:numId w:val="20"/>
        </w:numPr>
        <w:tabs>
          <w:tab w:val="clear" w:pos="540"/>
        </w:tabs>
        <w:ind w:hanging="540" w:start="540" w:end="0"/>
        <w:jc w:val="both"/>
        <w:rPr/>
      </w:pPr>
      <w:r>
        <w:rPr/>
        <w:t>STATUS:  CIG withdrew a major portion of its claim.  No trial date on the remaining claim has been set, although a 1999 trial setting has been requested.   A settlement meeting was held in Denver on August 25.  The parties are attempting to reduce a settlement to writing.</w:t>
      </w:r>
    </w:p>
    <w:p>
      <w:pPr>
        <w:pStyle w:val="Normal"/>
        <w:tabs>
          <w:tab w:val="left" w:pos="540" w:leader="none"/>
          <w:tab w:val="right" w:pos="10800" w:leader="none"/>
        </w:tabs>
        <w:jc w:val="both"/>
        <w:rPr/>
      </w:pPr>
      <w:r>
        <w:rPr/>
      </w:r>
    </w:p>
    <w:p>
      <w:pPr>
        <w:pStyle w:val="Normal"/>
        <w:keepNext w:val="true"/>
        <w:tabs>
          <w:tab w:val="left" w:pos="540" w:leader="none"/>
          <w:tab w:val="right" w:pos="10800" w:leader="none"/>
        </w:tabs>
        <w:ind w:hanging="547" w:start="547" w:end="0"/>
        <w:jc w:val="both"/>
        <w:rPr/>
      </w:pPr>
      <w:r>
        <w:rPr>
          <w:b/>
        </w:rPr>
        <w:t>2.</w:t>
        <w:tab/>
        <w:t xml:space="preserve">Crye, et al v. Reichhold Chemicals Inc., et al (including Enron Corp., Enron Methanol Company, EGP Fuels Company and KN Processing Inc. f/k/a Enron Gas Processing Company) </w:t>
      </w:r>
      <w:r>
        <w:rPr/>
        <w:t xml:space="preserve">(Filed 12/11/98) (Enron Corp., Enron Methanol Company, EGP Fuels Company served 12/22/98) </w:t>
      </w:r>
      <w:r>
        <w:rPr>
          <w:i/>
        </w:rPr>
        <w:t>(Kisluk/White, Litigation Unit) (Soldano)</w:t>
        <w:tab/>
        <w:t xml:space="preserve"> </w:t>
      </w:r>
      <w:r>
        <w:rPr>
          <w:b/>
        </w:rPr>
        <w:t>NOT REVISED</w:t>
      </w:r>
    </w:p>
    <w:p>
      <w:pPr>
        <w:pStyle w:val="Normal"/>
        <w:numPr>
          <w:ilvl w:val="0"/>
          <w:numId w:val="9"/>
        </w:numPr>
        <w:tabs>
          <w:tab w:val="left" w:pos="540" w:leader="none"/>
          <w:tab w:val="right" w:pos="10800" w:leader="none"/>
        </w:tabs>
        <w:ind w:hanging="540" w:start="540" w:end="0"/>
        <w:jc w:val="both"/>
        <w:rPr/>
      </w:pPr>
      <w:r>
        <w:rPr/>
        <w:t>CAUSE OF ACTION:  Chemical contamination and environmental pollution claim alleged against defendants relating to facilities located along Interstate 10 and the Houston ship channel in East Harris County.  Plaintiff’s claims include nuisance, trespass, negligence and gross negligence in construction, maintenance and operation of facilities.  Plaintiff’s seek unspecified actual and exemplary damages for personal discomfort, inconvenience and annoyance, transitory symptoms of ill health, physical discomfort, pain and suffering, loss of use and enjoyment of property, emotional distress and mental anguish, loss of rental value of property and expenses incurred in repairing homes, real and personal property.</w:t>
      </w:r>
    </w:p>
    <w:p>
      <w:pPr>
        <w:pStyle w:val="Normal"/>
        <w:numPr>
          <w:ilvl w:val="0"/>
          <w:numId w:val="14"/>
        </w:numPr>
        <w:spacing w:lineRule="atLeast" w:line="240"/>
        <w:ind w:hanging="540" w:start="540" w:end="0"/>
        <w:jc w:val="both"/>
        <w:rPr/>
      </w:pPr>
      <w:r>
        <w:rPr/>
        <w:t xml:space="preserve">STATUS:  </w:t>
      </w:r>
      <w:r>
        <w:rPr>
          <w:color w:val="000000"/>
          <w:lang w:eastAsia="en-US"/>
        </w:rPr>
        <w:t>KN has been successfully dismissed from the litigation.  The Litigation Unit will serve as Counsel of Record for the near term.  Plaintiffs made a settlement demand for $600,000 - $700,000 and Enron Methanol offered $40,000.  No further settlement discussions have taken place.  Depositions suspended by Court on July 21, 1999.  Hearing held October 4, 1999 on Defendants' Motions for No Evidence Summary Judgment.  The Court indicated it would grant Partial Summary Judgment finding that plaintiffs' claims constitute permanent nuisance and finding that the claims of all plaintiffs who have lived in their homes more than two years from the date the lawsuit was filed and who have alleged frequency of exposure of once per week or more are barred by the statute of limitations.  As to those plaintiffs who moved to their homes less than two years prior to the filing of suit or who have alleged exposure on a less frequent basis, the Court ordered that they must replead to state their date of first exposure and frequency. Hearing held November 1, 1999;  Court granted plaintiffs additional time to replead, new deadline is November 15, 1999.  Thereafter, depositions of remaining plaintiffs shall resume.  The Court further ordered that all remaining plaintiffs shall complete all discovery previously served upon them by January 1, 2000.  Trial date of February 21, 2000 continued to May 1, 2000.</w:t>
      </w:r>
    </w:p>
    <w:p>
      <w:pPr>
        <w:pStyle w:val="Normal"/>
        <w:keepNext w:val="true"/>
        <w:tabs>
          <w:tab w:val="left" w:pos="540" w:leader="none"/>
          <w:tab w:val="right" w:pos="10800" w:leader="none"/>
        </w:tabs>
        <w:ind w:hanging="540" w:start="540" w:end="0"/>
        <w:jc w:val="both"/>
        <w:rPr/>
      </w:pPr>
      <w:r>
        <w:rPr/>
      </w:r>
    </w:p>
    <w:p>
      <w:pPr>
        <w:pStyle w:val="Normal"/>
        <w:keepNext w:val="true"/>
        <w:tabs>
          <w:tab w:val="left" w:pos="540" w:leader="none"/>
          <w:tab w:val="right" w:pos="10800" w:leader="none"/>
        </w:tabs>
        <w:ind w:hanging="547" w:start="547" w:end="0"/>
        <w:jc w:val="both"/>
        <w:rPr/>
      </w:pPr>
      <w:r>
        <w:rPr>
          <w:b/>
        </w:rPr>
        <w:t>3.</w:t>
        <w:tab/>
        <w:t>EGP Fuels Company v. Anthony Crane Rentals of Texas, Inc., No. 97-35440, 281</w:t>
      </w:r>
      <w:r>
        <w:rPr>
          <w:b/>
          <w:vertAlign w:val="superscript"/>
        </w:rPr>
        <w:t>st</w:t>
      </w:r>
      <w:r>
        <w:rPr>
          <w:b/>
        </w:rPr>
        <w:t xml:space="preserve"> Judicial District Court, Harris County, Texas </w:t>
      </w:r>
      <w:r>
        <w:rPr/>
        <w:t xml:space="preserve">(Filed July 2, 1997) (Served - unknown) </w:t>
      </w:r>
      <w:r>
        <w:rPr>
          <w:i/>
        </w:rPr>
        <w:t>(Bracewell &amp; Patterson) (Litigation Unit) (Soldano)</w:t>
      </w:r>
      <w:r>
        <w:rPr/>
        <w:tab/>
      </w:r>
      <w:r>
        <w:rPr>
          <w:b/>
        </w:rPr>
        <w:t>NOT REVISED</w:t>
      </w:r>
    </w:p>
    <w:p>
      <w:pPr>
        <w:pStyle w:val="Normal"/>
        <w:numPr>
          <w:ilvl w:val="0"/>
          <w:numId w:val="20"/>
        </w:numPr>
        <w:ind w:hanging="540" w:start="540" w:end="0"/>
        <w:jc w:val="both"/>
        <w:rPr/>
      </w:pPr>
      <w:r>
        <w:rPr/>
        <w:t>CAUSE OF ACTION:  EGP seeks recovery of business interruption and property damage losses in the amount of approximately $1.3 million plus interest caused by Anthony Crane Rental of Texas, Inc.’s negligent dropping of a screen during a scheduled turnaround on July 4, 1995.</w:t>
      </w:r>
    </w:p>
    <w:p>
      <w:pPr>
        <w:pStyle w:val="BodyText2"/>
        <w:widowControl/>
        <w:tabs>
          <w:tab w:val="clear" w:pos="720"/>
          <w:tab w:val="clear" w:pos="10800"/>
        </w:tabs>
        <w:ind w:start="540" w:end="0"/>
        <w:rPr/>
      </w:pPr>
      <w:r>
        <w:rPr/>
        <w:t>STATUS:  Excess underwriters have joined in this matter for reimbursement of business interruption and property damage claims made by EGP in November 1995. Excess insurers have retained Bill Harrison with the Houston, Texas firm of Griggs &amp; Harrison to prosecute this matter on their behalf. EGP has entered into a Litigation Control Agreement whereby Griggs &amp; Harrison represented both EGP and the underwriters.  The agreement also sets forth division of any monies recovered.  Settlement was reached.  EGP is to receive $1,532,325.47.</w:t>
      </w:r>
    </w:p>
    <w:p>
      <w:pPr>
        <w:pStyle w:val="Normal"/>
        <w:tabs>
          <w:tab w:val="clear" w:pos="540"/>
          <w:tab w:val="left" w:pos="547" w:leader="none"/>
        </w:tabs>
        <w:jc w:val="both"/>
        <w:rPr/>
      </w:pPr>
      <w:r>
        <w:rPr/>
      </w:r>
    </w:p>
    <w:p>
      <w:pPr>
        <w:pStyle w:val="Normal"/>
        <w:tabs>
          <w:tab w:val="clear" w:pos="540"/>
          <w:tab w:val="right" w:pos="10800" w:leader="none"/>
        </w:tabs>
        <w:ind w:hanging="540" w:start="540" w:end="0"/>
        <w:jc w:val="both"/>
        <w:rPr/>
      </w:pPr>
      <w:r>
        <w:rPr>
          <w:b/>
        </w:rPr>
        <w:t>4.</w:t>
        <w:tab/>
        <w:t xml:space="preserve">Gerlich, et al v. Merichem Company, et al (including Enron Corp., Enron Methanol Company, EGP Fuels Company and KN Processing, Inc. f/k/a Enron Gas Processing Company </w:t>
      </w:r>
      <w:r>
        <w:rPr/>
        <w:t>(filed 12/18/98) (Enron Corp., Enron Methanol Company, EGP Fuels Company, served 2/1/99)</w:t>
      </w:r>
      <w:r>
        <w:rPr>
          <w:b/>
        </w:rPr>
        <w:t xml:space="preserve"> </w:t>
      </w:r>
      <w:r>
        <w:rPr/>
        <w:t>(Litigation Unit – Kisluk/White) (Soldano)</w:t>
      </w:r>
      <w:r>
        <w:rPr>
          <w:b/>
        </w:rPr>
        <w:tab/>
        <w:t>NOT REVISED</w:t>
      </w:r>
    </w:p>
    <w:p>
      <w:pPr>
        <w:pStyle w:val="Normal"/>
        <w:tabs>
          <w:tab w:val="right" w:pos="540" w:leader="none"/>
          <w:tab w:val="right" w:pos="10800" w:leader="none"/>
        </w:tabs>
        <w:ind w:start="540" w:end="0"/>
        <w:jc w:val="both"/>
        <w:rPr/>
      </w:pPr>
      <w:r>
        <w:rPr/>
        <w:t>CAUSE OF ACTION:  Companion case to Crye, et al v. Reichhold Chemicals, Inc.</w:t>
      </w:r>
    </w:p>
    <w:p>
      <w:pPr>
        <w:pStyle w:val="Normal"/>
        <w:numPr>
          <w:ilvl w:val="0"/>
          <w:numId w:val="6"/>
        </w:numPr>
        <w:tabs>
          <w:tab w:val="right" w:pos="540" w:leader="none"/>
          <w:tab w:val="right" w:pos="10800" w:leader="none"/>
        </w:tabs>
        <w:ind w:hanging="540" w:start="540" w:end="0"/>
        <w:jc w:val="both"/>
        <w:rPr/>
      </w:pPr>
      <w:r>
        <w:rPr/>
        <w:t>STATUS:  Responsive pleading filed February 19, 1999.</w:t>
      </w:r>
    </w:p>
    <w:p>
      <w:pPr>
        <w:pStyle w:val="Normal"/>
        <w:tabs>
          <w:tab w:val="right" w:pos="540" w:leader="none"/>
          <w:tab w:val="right" w:pos="10800" w:leader="none"/>
        </w:tabs>
        <w:jc w:val="both"/>
        <w:rPr/>
      </w:pPr>
      <w:r>
        <w:rPr/>
      </w:r>
    </w:p>
    <w:p>
      <w:pPr>
        <w:pStyle w:val="Normal"/>
        <w:tabs>
          <w:tab w:val="left" w:pos="540" w:leader="none"/>
          <w:tab w:val="right" w:pos="10800" w:leader="none"/>
        </w:tabs>
        <w:ind w:hanging="540" w:start="540" w:end="0"/>
        <w:jc w:val="both"/>
        <w:rPr/>
      </w:pPr>
      <w:r>
        <w:rPr>
          <w:b/>
        </w:rPr>
        <w:t>5.</w:t>
        <w:tab/>
        <w:t>Pyle, et al v. Crown Central Petroleum Company, et al (including Enron Corp., Enron Methanol Company, EGP Fuels Company and KN Processing, Inc. f/k/a Enron Gas Processing Company</w:t>
      </w:r>
      <w:r>
        <w:rPr/>
        <w:t xml:space="preserve"> (filed 1/29/99) (Enron Corp., Enron Methanol Company, EGP Fuels Company served 3/19/99) </w:t>
      </w:r>
      <w:r>
        <w:rPr>
          <w:i/>
        </w:rPr>
        <w:t>(Litigation Unit – Kisluk/White) (Soldano)</w:t>
        <w:tab/>
      </w:r>
      <w:r>
        <w:rPr>
          <w:b/>
        </w:rPr>
        <w:t>NOT REVISED</w:t>
      </w:r>
    </w:p>
    <w:p>
      <w:pPr>
        <w:pStyle w:val="Normal"/>
        <w:numPr>
          <w:ilvl w:val="0"/>
          <w:numId w:val="17"/>
        </w:numPr>
        <w:tabs>
          <w:tab w:val="clear" w:pos="540"/>
        </w:tabs>
        <w:ind w:hanging="540" w:start="540" w:end="0"/>
        <w:jc w:val="both"/>
        <w:rPr/>
      </w:pPr>
      <w:r>
        <w:rPr/>
        <w:t>CAUSE OF ACTION:  Companion case to Crye, et al v. Reichhold Chemicals, Inc.</w:t>
      </w:r>
    </w:p>
    <w:p>
      <w:pPr>
        <w:pStyle w:val="Normal"/>
        <w:numPr>
          <w:ilvl w:val="0"/>
          <w:numId w:val="8"/>
        </w:numPr>
        <w:tabs>
          <w:tab w:val="clear" w:pos="540"/>
        </w:tabs>
        <w:ind w:hanging="540" w:start="540" w:end="0"/>
        <w:jc w:val="both"/>
        <w:rPr/>
      </w:pPr>
      <w:r>
        <w:rPr/>
        <w:t>STATUS:  Responsive pleadings filed April 9, 1999.</w:t>
      </w:r>
    </w:p>
    <w:p>
      <w:pPr>
        <w:pStyle w:val="Normal"/>
        <w:jc w:val="both"/>
        <w:rPr/>
      </w:pPr>
      <w:r>
        <w:rPr/>
      </w:r>
    </w:p>
    <w:p>
      <w:pPr>
        <w:pStyle w:val="Normal"/>
        <w:keepNext w:val="true"/>
        <w:keepLines/>
        <w:tabs>
          <w:tab w:val="clear" w:pos="540"/>
          <w:tab w:val="left" w:pos="720" w:leader="none"/>
          <w:tab w:val="center" w:pos="5400" w:leader="none"/>
          <w:tab w:val="right" w:pos="10800" w:leader="none"/>
        </w:tabs>
        <w:jc w:val="both"/>
        <w:rPr/>
      </w:pPr>
      <w:r>
        <w:rPr>
          <w:b/>
          <w:color w:val="000000"/>
        </w:rPr>
        <w:tab/>
        <w:tab/>
      </w:r>
      <w:r>
        <w:rPr>
          <w:b/>
          <w:color w:val="000000"/>
          <w:u w:val="single"/>
        </w:rPr>
        <w:t>ENRON PRODUCTS PIPELINE COMPANY</w:t>
      </w:r>
    </w:p>
    <w:p>
      <w:pPr>
        <w:pStyle w:val="Normal"/>
        <w:keepNext w:val="true"/>
        <w:keepLines/>
        <w:tabs>
          <w:tab w:val="clear" w:pos="540"/>
          <w:tab w:val="left" w:pos="720" w:leader="none"/>
          <w:tab w:val="center" w:pos="5400" w:leader="none"/>
          <w:tab w:val="right" w:pos="10800" w:leader="none"/>
        </w:tabs>
        <w:jc w:val="both"/>
        <w:rPr>
          <w:b/>
          <w:color w:val="000000"/>
          <w:u w:val="single"/>
        </w:rPr>
      </w:pPr>
      <w:r>
        <w:rPr>
          <w:b/>
          <w:color w:val="000000"/>
          <w:u w:val="single"/>
        </w:rPr>
      </w:r>
    </w:p>
    <w:p>
      <w:pPr>
        <w:pStyle w:val="Normal"/>
        <w:keepNext w:val="true"/>
        <w:keepLines/>
        <w:tabs>
          <w:tab w:val="clear" w:pos="540"/>
          <w:tab w:val="left" w:pos="720" w:leader="none"/>
          <w:tab w:val="center" w:pos="5400" w:leader="none"/>
          <w:tab w:val="right" w:pos="10800" w:leader="none"/>
        </w:tabs>
        <w:jc w:val="both"/>
        <w:rPr>
          <w:b/>
          <w:color w:val="000000"/>
        </w:rPr>
      </w:pPr>
      <w:r>
        <w:rPr>
          <w:b/>
          <w:color w:val="000000"/>
          <w:u w:val="single"/>
        </w:rPr>
        <w:t>LITIGATION</w:t>
      </w:r>
    </w:p>
    <w:p>
      <w:pPr>
        <w:pStyle w:val="Normal"/>
        <w:keepNext w:val="true"/>
        <w:keepLines/>
        <w:tabs>
          <w:tab w:val="clear" w:pos="540"/>
          <w:tab w:val="left" w:pos="720" w:leader="none"/>
          <w:tab w:val="center" w:pos="5400" w:leader="none"/>
          <w:tab w:val="right" w:pos="10800" w:leader="none"/>
        </w:tabs>
        <w:jc w:val="both"/>
        <w:rPr>
          <w:b/>
          <w:color w:val="000000"/>
        </w:rPr>
      </w:pPr>
      <w:r>
        <w:rPr>
          <w:b/>
          <w:color w:val="000000"/>
        </w:rPr>
      </w:r>
    </w:p>
    <w:p>
      <w:pPr>
        <w:pStyle w:val="Normal"/>
        <w:keepNext w:val="true"/>
        <w:keepLines/>
        <w:tabs>
          <w:tab w:val="left" w:pos="540" w:leader="none"/>
          <w:tab w:val="right" w:pos="10800" w:leader="none"/>
        </w:tabs>
        <w:ind w:hanging="547" w:start="547" w:end="0"/>
        <w:jc w:val="both"/>
        <w:rPr/>
      </w:pPr>
      <w:r>
        <w:rPr>
          <w:b/>
        </w:rPr>
        <w:t>1.</w:t>
        <w:tab/>
        <w:t xml:space="preserve">Frazier and others vs. Ashland Chemical Company, Eastman Chemical Company and others, including </w:t>
      </w:r>
      <w:r>
        <w:rPr>
          <w:b/>
          <w:color w:val="000000"/>
          <w:spacing w:val="-2"/>
        </w:rPr>
        <w:t>Enron</w:t>
      </w:r>
      <w:r>
        <w:rPr>
          <w:b/>
        </w:rPr>
        <w:t xml:space="preserve"> Products Pipeline Company; Cause No. 98-0018; 71st Judicial District Court for Harrison County, Texas, at Marshall</w:t>
      </w:r>
      <w:r>
        <w:rPr/>
        <w:t xml:space="preserve"> (Filed April 15, 1998) (Served July 27, 1998) </w:t>
      </w:r>
      <w:r>
        <w:rPr>
          <w:i/>
        </w:rPr>
        <w:t>(Litigation Unit—Kisluk) (Crowley)</w:t>
      </w:r>
      <w:r>
        <w:rPr/>
        <w:tab/>
      </w:r>
      <w:r>
        <w:rPr>
          <w:b/>
        </w:rPr>
        <w:t>NOT REVISED</w:t>
      </w:r>
    </w:p>
    <w:p>
      <w:pPr>
        <w:pStyle w:val="Normal"/>
        <w:numPr>
          <w:ilvl w:val="0"/>
          <w:numId w:val="20"/>
        </w:numPr>
        <w:ind w:hanging="540" w:start="540" w:end="0"/>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numPr>
          <w:ilvl w:val="0"/>
          <w:numId w:val="16"/>
        </w:numPr>
        <w:tabs>
          <w:tab w:val="left" w:pos="540" w:leader="none"/>
          <w:tab w:val="right" w:pos="10800" w:leader="none"/>
        </w:tabs>
        <w:ind w:hanging="540" w:start="540" w:end="0"/>
        <w:jc w:val="both"/>
        <w:rPr/>
      </w:pPr>
      <w:r>
        <w:rPr/>
        <w:t>STATUS:  Settlement tentatively reached for all Enron related parties for the sum of $30,000.  Issuance of settlement funds have been requested. Proposed settlement documents are circulating. Awaiting signature of 300 plus parties.</w:t>
      </w:r>
    </w:p>
    <w:p>
      <w:pPr>
        <w:pStyle w:val="Normal"/>
        <w:tabs>
          <w:tab w:val="left" w:pos="540" w:leader="none"/>
          <w:tab w:val="right" w:pos="10800" w:leader="none"/>
        </w:tabs>
        <w:jc w:val="both"/>
        <w:rPr/>
      </w:pPr>
      <w:r>
        <w:rPr/>
      </w:r>
    </w:p>
    <w:p>
      <w:pPr>
        <w:pStyle w:val="Normal"/>
        <w:keepNext w:val="true"/>
        <w:tabs>
          <w:tab w:val="left" w:pos="540" w:leader="none"/>
          <w:tab w:val="center" w:pos="5400" w:leader="none"/>
          <w:tab w:val="right" w:pos="10800" w:leader="none"/>
        </w:tabs>
        <w:rPr/>
      </w:pPr>
      <w:r>
        <w:rPr>
          <w:b/>
        </w:rPr>
        <w:tab/>
        <w:tab/>
        <w:t xml:space="preserve">II.  </w:t>
      </w:r>
      <w:r>
        <w:rPr>
          <w:b/>
          <w:u w:val="single"/>
        </w:rPr>
        <w:t>NORTHERN NATURAL GAS COMPANY</w:t>
      </w:r>
    </w:p>
    <w:p>
      <w:pPr>
        <w:pStyle w:val="Normal"/>
        <w:keepNext w:val="true"/>
        <w:tabs>
          <w:tab w:val="left" w:pos="540" w:leader="none"/>
          <w:tab w:val="right" w:pos="10800" w:leader="none"/>
        </w:tabs>
        <w:rPr/>
      </w:pPr>
      <w:r>
        <w:rPr/>
      </w:r>
    </w:p>
    <w:p>
      <w:pPr>
        <w:pStyle w:val="Heading5"/>
        <w:ind w:hanging="0" w:start="0"/>
        <w:rPr/>
      </w:pPr>
      <w:r>
        <w:rPr/>
        <w:t>REGULATORY</w:t>
      </w:r>
    </w:p>
    <w:p>
      <w:pPr>
        <w:pStyle w:val="Normal"/>
        <w:rPr/>
      </w:pPr>
      <w:r>
        <w:rPr/>
      </w:r>
    </w:p>
    <w:p>
      <w:pPr>
        <w:pStyle w:val="Normal"/>
        <w:keepNext w:val="true"/>
        <w:tabs>
          <w:tab w:val="left" w:pos="540" w:leader="none"/>
          <w:tab w:val="right" w:pos="10800" w:leader="none"/>
        </w:tabs>
        <w:ind w:hanging="540" w:start="540" w:end="0"/>
        <w:jc w:val="both"/>
        <w:rPr/>
      </w:pPr>
      <w:r>
        <w:rPr>
          <w:b/>
        </w:rPr>
        <w:t>1.</w:t>
        <w:tab/>
        <w:t xml:space="preserve">Northern Natural Gas Company, Docket No. CP95-519 (Sale of MOPS to Enron Gulf Coast Gathering Limited Partnership) </w:t>
      </w:r>
      <w:r>
        <w:rPr>
          <w:i/>
        </w:rPr>
        <w:t>(Fossum)</w:t>
      </w:r>
      <w:r>
        <w:rPr>
          <w:b/>
        </w:rPr>
        <w:tab/>
        <w:t>NOT REVISED</w:t>
      </w:r>
    </w:p>
    <w:p>
      <w:pPr>
        <w:pStyle w:val="Normal"/>
        <w:tabs>
          <w:tab w:val="left" w:pos="540" w:leader="none"/>
          <w:tab w:val="right" w:pos="10800" w:leader="none"/>
        </w:tabs>
        <w:ind w:hanging="540" w:start="540" w:end="0"/>
        <w:jc w:val="both"/>
        <w:rPr/>
      </w:pPr>
      <w:r>
        <w:rPr/>
        <w:tab/>
        <w:t>On May 25, 1995 Northern filed an abandonment application to transfer the Matagorda Offshore Pipeline System (MOPS) to Enron Gulf Coast Gathering, Limited Partnership (EGCG) after abandonment, pursuant to a Contract for Purchase and Sale of Assets, dated May 24, 1995.  EGCG filed a Petition for Declaratory Order in connection with its acquisition of the facilities in Docket No. CP95-516.  On April 17, 1997, the Commission issued an Order denying EGCG’s Petition for Declaratory Order and dismissing Northern’s request for abandonment.  On May 19, 1997, Northern and EGCG filed a Request for Rehearing.  Issuance of a final Commission order in this matter will likely be delayed until the Commission resolves several policy issues involving its ‘gathering’ definition.</w:t>
      </w:r>
    </w:p>
    <w:p>
      <w:pPr>
        <w:pStyle w:val="Normal"/>
        <w:tabs>
          <w:tab w:val="left" w:pos="540" w:leader="none"/>
          <w:tab w:val="right" w:pos="10800" w:leader="none"/>
        </w:tabs>
        <w:ind w:hanging="540" w:start="540" w:end="0"/>
        <w:jc w:val="both"/>
        <w:rPr/>
      </w:pPr>
      <w:r>
        <w:rPr/>
      </w:r>
    </w:p>
    <w:p>
      <w:pPr>
        <w:pStyle w:val="Normal"/>
        <w:keepNext w:val="true"/>
        <w:tabs>
          <w:tab w:val="left" w:pos="540" w:leader="none"/>
          <w:tab w:val="right" w:pos="10800" w:leader="none"/>
        </w:tabs>
        <w:ind w:hanging="547" w:start="547" w:end="0"/>
        <w:jc w:val="both"/>
        <w:rPr/>
      </w:pPr>
      <w:r>
        <w:rPr>
          <w:b/>
        </w:rPr>
        <w:t>2.</w:t>
        <w:tab/>
        <w:t xml:space="preserve">Northern Natural Gas Company, Docket No. CP98-234 </w:t>
      </w:r>
      <w:r>
        <w:rPr>
          <w:i/>
        </w:rPr>
        <w:t>(Dornan)</w:t>
      </w:r>
      <w:r>
        <w:rPr/>
        <w:t xml:space="preserve"> </w:t>
      </w:r>
      <w:r>
        <w:rPr>
          <w:b/>
        </w:rPr>
        <w:tab/>
        <w:t>NOT REVISED</w:t>
      </w:r>
    </w:p>
    <w:p>
      <w:pPr>
        <w:pStyle w:val="Normal"/>
        <w:tabs>
          <w:tab w:val="left" w:pos="540" w:leader="none"/>
          <w:tab w:val="right" w:pos="10800" w:leader="none"/>
        </w:tabs>
        <w:ind w:hanging="540" w:start="540" w:end="0"/>
        <w:jc w:val="both"/>
        <w:rPr/>
      </w:pPr>
      <w:r>
        <w:rPr/>
        <w:tab/>
        <w:t>On February 13, 1998, Northern filed an application to abandon by sale to Westar and American Gathering certain compression, pipeline, receipt and delivery point facilities located in Texas as well as certain services rendered thereby.  Protests were filed.  Northern filed an answer.  Southern Union filed to withdraw its protest on January 27, 1999.  Northern has received further data requests from the Commission staff.</w:t>
      </w:r>
    </w:p>
    <w:p>
      <w:pPr>
        <w:pStyle w:val="Normal"/>
        <w:tabs>
          <w:tab w:val="left" w:pos="540" w:leader="none"/>
          <w:tab w:val="right" w:pos="10800" w:leader="none"/>
        </w:tabs>
        <w:ind w:hanging="540" w:start="540" w:end="0"/>
        <w:jc w:val="both"/>
        <w:rPr/>
      </w:pPr>
      <w:r>
        <w:rPr/>
      </w:r>
    </w:p>
    <w:p>
      <w:pPr>
        <w:pStyle w:val="Normal"/>
        <w:keepNext w:val="true"/>
        <w:tabs>
          <w:tab w:val="left" w:pos="540" w:leader="none"/>
          <w:tab w:val="right" w:pos="10800" w:leader="none"/>
        </w:tabs>
        <w:ind w:hanging="540" w:start="540" w:end="0"/>
        <w:jc w:val="both"/>
        <w:rPr/>
      </w:pPr>
      <w:r>
        <w:rPr>
          <w:b/>
        </w:rPr>
        <w:t>3.</w:t>
        <w:tab/>
        <w:t xml:space="preserve">Northern Natural Gas Company, Docket No. RP93-206-003 and RP96-347 </w:t>
      </w:r>
      <w:r>
        <w:rPr>
          <w:i/>
        </w:rPr>
        <w:t>(Dornan)</w:t>
      </w:r>
      <w:r>
        <w:rPr>
          <w:b/>
        </w:rPr>
        <w:tab/>
        <w:t>NOT REVISED</w:t>
      </w:r>
    </w:p>
    <w:p>
      <w:pPr>
        <w:pStyle w:val="Normal"/>
        <w:tabs>
          <w:tab w:val="left" w:pos="540" w:leader="none"/>
          <w:tab w:val="right" w:pos="10800" w:leader="none"/>
        </w:tabs>
        <w:ind w:hanging="540" w:start="540" w:end="0"/>
        <w:jc w:val="both"/>
        <w:rPr/>
      </w:pPr>
      <w:r>
        <w:rPr/>
        <w:tab/>
        <w:t>Northern filed a Stipulation and Agreement of Settlement on October 28, 1996 resolving the Carlton receipt point issue. On November 21, 1996, the Commission issued an order accepting the settlement subject to modifications.  Northern has filed an appeal of the Commission's order concerning the Carlton surcharge Refund Report for the 1996-97 heating season and another appeal of the order on the report for the 1997-98 Refund Report.  These two appeals have been consolidated by the Court of Appeals.  A briefing schedule has not yet been established.  Oral argument has been set for February 17, 2000.</w:t>
      </w:r>
    </w:p>
    <w:p>
      <w:pPr>
        <w:pStyle w:val="Normal"/>
        <w:tabs>
          <w:tab w:val="left" w:pos="540" w:leader="none"/>
          <w:tab w:val="right" w:pos="10800" w:leader="none"/>
        </w:tabs>
        <w:ind w:hanging="540" w:start="540" w:end="0"/>
        <w:jc w:val="both"/>
        <w:rPr/>
      </w:pPr>
      <w:r>
        <w:rPr/>
      </w:r>
    </w:p>
    <w:p>
      <w:pPr>
        <w:pStyle w:val="Normal"/>
        <w:keepNext w:val="true"/>
        <w:tabs>
          <w:tab w:val="left" w:pos="540" w:leader="none"/>
          <w:tab w:val="right" w:pos="10800" w:leader="none"/>
        </w:tabs>
        <w:ind w:hanging="540" w:start="540" w:end="0"/>
        <w:jc w:val="both"/>
        <w:rPr/>
      </w:pPr>
      <w:r>
        <w:rPr>
          <w:b/>
        </w:rPr>
        <w:t>4.</w:t>
        <w:tab/>
        <w:t xml:space="preserve">Northern Natural Gas Company, Docket No. RP98-39 (Kansas Ad Valorem Tax) </w:t>
      </w:r>
      <w:r>
        <w:rPr>
          <w:i/>
        </w:rPr>
        <w:t>(Talcott)</w:t>
      </w:r>
      <w:r>
        <w:rPr>
          <w:b/>
        </w:rPr>
        <w:tab/>
        <w:t>NOT REVISED</w:t>
      </w:r>
    </w:p>
    <w:p>
      <w:pPr>
        <w:pStyle w:val="Normal"/>
        <w:tabs>
          <w:tab w:val="left" w:pos="540" w:leader="none"/>
          <w:tab w:val="right" w:pos="10800" w:leader="none"/>
        </w:tabs>
        <w:ind w:hanging="540" w:start="540" w:end="0"/>
        <w:jc w:val="both"/>
        <w:rPr/>
      </w:pPr>
      <w:r>
        <w:rPr/>
        <w:tab/>
        <w:t>On September 10, 1997, the Commission directed pipelines to issue Statements of Refunds Due (SRD) to producers (First Sellers) for Kansas Ad Valoren taxes paid from 1983 through 1988.  On November 10, 1997, Northern issued the SRDs.  The Producers have appealed several of the Commission's orders to the Court of Appeals.  The Court of Appeals has issued its decision denying the Producer's appeal, but removal will require further rulings by FERC.  In the meantime, Northern has collected and refunded over $35 million to its customers.</w:t>
      </w:r>
    </w:p>
    <w:p>
      <w:pPr>
        <w:pStyle w:val="Normal"/>
        <w:tabs>
          <w:tab w:val="left" w:pos="540" w:leader="none"/>
          <w:tab w:val="right" w:pos="10800" w:leader="none"/>
        </w:tabs>
        <w:ind w:hanging="540" w:start="540" w:end="0"/>
        <w:jc w:val="both"/>
        <w:rPr/>
      </w:pPr>
      <w:r>
        <w:rPr/>
      </w:r>
    </w:p>
    <w:p>
      <w:pPr>
        <w:pStyle w:val="Normal"/>
        <w:tabs>
          <w:tab w:val="clear" w:pos="540"/>
          <w:tab w:val="right" w:pos="10800" w:leader="none"/>
        </w:tabs>
        <w:ind w:hanging="547" w:start="547" w:end="0"/>
        <w:jc w:val="both"/>
        <w:rPr>
          <w:b/>
        </w:rPr>
      </w:pPr>
      <w:r>
        <w:rPr>
          <w:b/>
        </w:rPr>
      </w:r>
    </w:p>
    <w:p>
      <w:pPr>
        <w:pStyle w:val="Normal"/>
        <w:tabs>
          <w:tab w:val="clear" w:pos="540"/>
          <w:tab w:val="right" w:pos="10800" w:leader="none"/>
        </w:tabs>
        <w:ind w:hanging="547" w:start="547" w:end="0"/>
        <w:jc w:val="both"/>
        <w:rPr>
          <w:b/>
        </w:rPr>
      </w:pPr>
      <w:r>
        <w:rPr>
          <w:b/>
        </w:rPr>
        <w:t>5.</w:t>
        <w:tab/>
        <w:t xml:space="preserve">Northern Natural Gas Company, Docket No. CP99-552 (Zavala abandonment) </w:t>
        <w:tab/>
      </w:r>
    </w:p>
    <w:p>
      <w:pPr>
        <w:pStyle w:val="Normal"/>
        <w:tabs>
          <w:tab w:val="clear" w:pos="540"/>
          <w:tab w:val="right" w:pos="10800" w:leader="none"/>
        </w:tabs>
        <w:ind w:hanging="547" w:start="547" w:end="0"/>
        <w:jc w:val="both"/>
        <w:rPr/>
      </w:pPr>
      <w:r>
        <w:rPr>
          <w:b/>
        </w:rPr>
        <w:tab/>
      </w:r>
      <w:r>
        <w:rPr>
          <w:i/>
        </w:rPr>
        <w:t>(</w:t>
      </w:r>
      <w:r>
        <w:rPr/>
        <w:t>Dornan)</w:t>
      </w:r>
      <w:r>
        <w:rPr>
          <w:b/>
        </w:rPr>
        <w:t xml:space="preserve"> </w:t>
        <w:tab/>
        <w:t>NOT REVISED</w:t>
      </w:r>
    </w:p>
    <w:p>
      <w:pPr>
        <w:pStyle w:val="Normal"/>
        <w:tabs>
          <w:tab w:val="clear" w:pos="540"/>
          <w:tab w:val="right" w:pos="10800" w:leader="none"/>
        </w:tabs>
        <w:ind w:hanging="547" w:start="547" w:end="0"/>
        <w:jc w:val="both"/>
        <w:rPr/>
      </w:pPr>
      <w:r>
        <w:rPr>
          <w:b/>
        </w:rPr>
        <w:tab/>
      </w:r>
      <w:r>
        <w:rPr/>
        <w:t>On June 11, 1999, Northern filed an application to abandon by sale to McDay Energy Northern’s Zavala County facilities.  On July 22, McDay Energy filed a Petition for Declaratory Order disclaiming jurisdiction of the gathering facilities (Docket No. CP99-590).  On November 12, 1999, the Commission issued its Order Granting Petition for Declaratory Order and Approving Abandonment.</w:t>
      </w:r>
    </w:p>
    <w:p>
      <w:pPr>
        <w:pStyle w:val="Normal"/>
        <w:tabs>
          <w:tab w:val="clear" w:pos="540"/>
          <w:tab w:val="right" w:pos="10800" w:leader="none"/>
        </w:tabs>
        <w:ind w:hanging="547" w:start="547" w:end="0"/>
        <w:jc w:val="both"/>
        <w:rPr/>
      </w:pPr>
      <w:r>
        <w:rPr/>
      </w:r>
    </w:p>
    <w:p>
      <w:pPr>
        <w:pStyle w:val="Normal"/>
        <w:tabs>
          <w:tab w:val="left" w:pos="540" w:leader="none"/>
          <w:tab w:val="right" w:pos="10800" w:leader="none"/>
        </w:tabs>
        <w:ind w:hanging="547" w:start="547" w:end="0"/>
        <w:jc w:val="both"/>
        <w:rPr/>
      </w:pPr>
      <w:r>
        <w:rPr/>
      </w:r>
    </w:p>
    <w:p>
      <w:pPr>
        <w:pStyle w:val="Normal"/>
        <w:keepNext w:val="true"/>
        <w:keepLines/>
        <w:tabs>
          <w:tab w:val="left" w:pos="540" w:leader="none"/>
          <w:tab w:val="right" w:pos="10800" w:leader="none"/>
        </w:tabs>
        <w:ind w:hanging="547" w:start="547" w:end="0"/>
        <w:jc w:val="both"/>
        <w:rPr>
          <w:b/>
        </w:rPr>
      </w:pPr>
      <w:r>
        <w:rPr>
          <w:b/>
          <w:u w:val="single"/>
        </w:rPr>
        <w:t>LITIGATION</w:t>
      </w:r>
    </w:p>
    <w:p>
      <w:pPr>
        <w:pStyle w:val="Normal"/>
        <w:tabs>
          <w:tab w:val="left" w:pos="540" w:leader="none"/>
          <w:tab w:val="right" w:pos="10800" w:leader="none"/>
        </w:tabs>
        <w:ind w:hanging="540" w:start="540" w:end="0"/>
        <w:jc w:val="both"/>
        <w:rPr>
          <w:b/>
        </w:rPr>
      </w:pPr>
      <w:r>
        <w:rPr>
          <w:b/>
        </w:rPr>
      </w:r>
    </w:p>
    <w:p>
      <w:pPr>
        <w:pStyle w:val="Normal"/>
        <w:keepNext w:val="true"/>
        <w:tabs>
          <w:tab w:val="left" w:pos="540" w:leader="none"/>
          <w:tab w:val="right" w:pos="10800" w:leader="none"/>
        </w:tabs>
        <w:ind w:hanging="540" w:start="540" w:end="0"/>
        <w:jc w:val="both"/>
        <w:rPr/>
      </w:pPr>
      <w:r>
        <w:rPr>
          <w:b/>
        </w:rPr>
        <w:t>1.</w:t>
        <w:tab/>
        <w:t xml:space="preserve">Buffalo Royalty Corporation, et al. v. Enron Corp. and El Paso Natural Gas Company, Case No. 28,234, 223rd Judicial District, Gray County, Texas </w:t>
      </w:r>
      <w:r>
        <w:rPr/>
        <w:t xml:space="preserve">(Filed April 30, 1991) (Served May 7, 1992) </w:t>
      </w:r>
      <w:r>
        <w:rPr>
          <w:i/>
        </w:rPr>
        <w:t>(Litigation Unit) (Talcott)</w:t>
      </w:r>
      <w:r>
        <w:rPr>
          <w:b/>
        </w:rPr>
        <w:tab/>
        <w:t>NOT REVISED</w:t>
      </w:r>
    </w:p>
    <w:p>
      <w:pPr>
        <w:pStyle w:val="Normal"/>
        <w:numPr>
          <w:ilvl w:val="0"/>
          <w:numId w:val="20"/>
        </w:numPr>
        <w:ind w:hanging="540" w:start="540" w:end="0"/>
        <w:jc w:val="both"/>
        <w:rPr/>
      </w:pPr>
      <w:r>
        <w:rPr/>
        <w:t>CAUSE OF ACTION:  Purported class action by very small producers for take-or-pay-related contract, tort, and DTPA claims.  Plaintiffs sued for actual, punitive, and trebled actual damages and attorneys' fees.  Defendants: El Paso and Enron Corp. only.  Enron Corp. allegedly liable to named plaintiffs regarding contracts executed by Transwestern and Northern (while a division of Enron Corp.).  Only Transwestern contract contained arbitration clause.</w:t>
      </w:r>
    </w:p>
    <w:p>
      <w:pPr>
        <w:pStyle w:val="Normal"/>
        <w:numPr>
          <w:ilvl w:val="0"/>
          <w:numId w:val="20"/>
        </w:numPr>
        <w:ind w:hanging="540" w:start="540" w:end="0"/>
        <w:jc w:val="both"/>
        <w:rPr/>
      </w:pPr>
      <w:r>
        <w:rPr/>
        <w:t xml:space="preserve">STATUS:  Dormant since 1995; no docket-control deadline or trial date set. </w:t>
      </w:r>
    </w:p>
    <w:p>
      <w:pPr>
        <w:pStyle w:val="Normal"/>
        <w:tabs>
          <w:tab w:val="left" w:pos="540" w:leader="none"/>
          <w:tab w:val="right" w:pos="10800" w:leader="none"/>
        </w:tabs>
        <w:ind w:hanging="540" w:start="540" w:end="0"/>
        <w:jc w:val="both"/>
        <w:rPr/>
      </w:pPr>
      <w:r>
        <w:rPr/>
      </w:r>
    </w:p>
    <w:p>
      <w:pPr>
        <w:pStyle w:val="Normal"/>
        <w:keepNext w:val="true"/>
        <w:tabs>
          <w:tab w:val="left" w:pos="540" w:leader="none"/>
          <w:tab w:val="right" w:pos="10800" w:leader="none"/>
        </w:tabs>
        <w:ind w:hanging="540" w:start="540" w:end="0"/>
        <w:jc w:val="both"/>
        <w:rPr/>
      </w:pPr>
      <w:r>
        <w:rPr>
          <w:b/>
        </w:rPr>
        <w:t>2.</w:t>
        <w:tab/>
        <w:t xml:space="preserve">Conoco Inc. v. Northern Natural Gas Company, Case No. B39109 in the District Court of Midland County, Texas, 238th Judicial District </w:t>
      </w:r>
      <w:r>
        <w:rPr/>
        <w:t xml:space="preserve">(Filed June 17, 1992) (Served June 23, 1992) </w:t>
      </w:r>
      <w:r>
        <w:rPr>
          <w:i/>
        </w:rPr>
        <w:t>(Talcott)</w:t>
      </w:r>
      <w:r>
        <w:rPr>
          <w:b/>
        </w:rPr>
        <w:tab/>
        <w:t>NOT REVISED</w:t>
      </w:r>
    </w:p>
    <w:p>
      <w:pPr>
        <w:pStyle w:val="Normal"/>
        <w:numPr>
          <w:ilvl w:val="0"/>
          <w:numId w:val="20"/>
        </w:numPr>
        <w:ind w:hanging="540" w:start="540" w:end="0"/>
        <w:jc w:val="both"/>
        <w:rPr/>
      </w:pPr>
      <w:r>
        <w:rPr/>
        <w:t>CAUSE OF ACTION:  Appellate action of $21 million plus attorneys fees against Northern.</w:t>
      </w:r>
    </w:p>
    <w:p>
      <w:pPr>
        <w:pStyle w:val="Normal"/>
        <w:numPr>
          <w:ilvl w:val="0"/>
          <w:numId w:val="20"/>
        </w:numPr>
        <w:ind w:hanging="540" w:start="540" w:end="0"/>
        <w:jc w:val="both"/>
        <w:rPr/>
      </w:pPr>
      <w:r>
        <w:rPr/>
        <w:t xml:space="preserve">STATUS:  On October 22, 1998, the Texas Supreme Court reversed itself, granting Conoco's Motion for Rehearing, remanding the case for trial on the issue of whether Northern terminated the gas purchase contracts in good faith.  Northern's Motion for Rehearing filed on December 7, 1998, was denied April 1, 1999.  The Supreme Court’s mandate was issued on May 14.  The trial </w:t>
      </w:r>
      <w:r>
        <w:rPr>
          <w:color w:val="000000"/>
        </w:rPr>
        <w:t>Court</w:t>
      </w:r>
      <w:r>
        <w:rPr/>
        <w:t xml:space="preserve"> now has jurisdiction over the retrial.  Northern filed a Motion for Summary Judgment which was denied.  Court mandated mediation will occur after the first of the year.  Trial is currently set for January 31, 2000.  The parties have served each other with post-remand discovery.  Northern has moved for an extension of the trial date.</w:t>
      </w:r>
    </w:p>
    <w:p>
      <w:pPr>
        <w:pStyle w:val="Normal"/>
        <w:tabs>
          <w:tab w:val="left" w:pos="540" w:leader="none"/>
          <w:tab w:val="right" w:pos="10800" w:leader="none"/>
        </w:tabs>
        <w:ind w:hanging="540" w:start="540" w:end="0"/>
        <w:jc w:val="both"/>
        <w:rPr/>
      </w:pPr>
      <w:r>
        <w:rPr/>
      </w:r>
    </w:p>
    <w:p>
      <w:pPr>
        <w:pStyle w:val="BodyText2"/>
        <w:widowControl/>
        <w:numPr>
          <w:ilvl w:val="0"/>
          <w:numId w:val="0"/>
        </w:numPr>
        <w:tabs>
          <w:tab w:val="clear" w:pos="720"/>
          <w:tab w:val="left" w:pos="540" w:leader="none"/>
          <w:tab w:val="right" w:pos="10800" w:leader="none"/>
        </w:tabs>
        <w:ind w:hanging="540" w:start="540" w:end="0"/>
        <w:rPr/>
      </w:pPr>
      <w:r>
        <w:rPr>
          <w:b/>
        </w:rPr>
        <w:t>3.</w:t>
        <w:tab/>
        <w:t>Grynberg v. Enron, et al. ("Grynberg II") (including Northern Natural Gas) (97D-1421 Dist. Colo.) (</w:t>
      </w:r>
      <w:r>
        <w:rPr>
          <w:i/>
        </w:rPr>
        <w:t>Holtzman)</w:t>
        <w:tab/>
      </w:r>
      <w:r>
        <w:rPr>
          <w:b/>
        </w:rPr>
        <w:t>NOT REVISED</w:t>
      </w:r>
    </w:p>
    <w:p>
      <w:pPr>
        <w:pStyle w:val="Normal"/>
        <w:numPr>
          <w:ilvl w:val="0"/>
          <w:numId w:val="10"/>
        </w:numPr>
        <w:tabs>
          <w:tab w:val="left" w:pos="540" w:leader="none"/>
          <w:tab w:val="left" w:pos="1440" w:leader="none"/>
          <w:tab w:val="right" w:pos="10800" w:leader="none"/>
        </w:tabs>
        <w:ind w:hanging="540" w:start="540" w:end="0"/>
        <w:jc w:val="both"/>
        <w:rPr/>
      </w:pPr>
      <w:r>
        <w:rPr>
          <w:color w:val="000000"/>
          <w:lang w:eastAsia="en-US"/>
        </w:rPr>
        <w:t>CAUSE OF ACTION:  Grynberg has filed under seal several new actions against</w:t>
      </w:r>
      <w:r>
        <w:rPr/>
        <w:t xml:space="preserve"> 150 companies including Northern Natural Gas Company in the District of Colorado, for damages for mis-measurement of gas volumes and Btu content, resulting in lower royalties to the U.S.  He also claims that the gas was sold by affiliates at large profits.</w:t>
      </w:r>
    </w:p>
    <w:p>
      <w:pPr>
        <w:pStyle w:val="Normal"/>
        <w:numPr>
          <w:ilvl w:val="0"/>
          <w:numId w:val="10"/>
        </w:numPr>
        <w:tabs>
          <w:tab w:val="left" w:pos="540" w:leader="none"/>
          <w:tab w:val="left" w:pos="1440" w:leader="none"/>
          <w:tab w:val="right" w:pos="10800" w:leader="none"/>
        </w:tabs>
        <w:ind w:hanging="540" w:start="540" w:end="0"/>
        <w:jc w:val="both"/>
        <w:rPr/>
      </w:pPr>
      <w:r>
        <w:rPr/>
        <w:t xml:space="preserve">STATUS:  </w:t>
      </w:r>
      <w:r>
        <w:rPr>
          <w:i/>
        </w:rPr>
        <w:t>See Grynberg v. Enron under FGT report .</w:t>
      </w:r>
    </w:p>
    <w:p>
      <w:pPr>
        <w:pStyle w:val="Normal"/>
        <w:tabs>
          <w:tab w:val="left" w:pos="540" w:leader="none"/>
          <w:tab w:val="right" w:pos="10800" w:leader="none"/>
        </w:tabs>
        <w:ind w:hanging="540" w:start="540" w:end="0"/>
        <w:jc w:val="both"/>
        <w:rPr/>
      </w:pPr>
      <w:r>
        <w:rPr/>
      </w:r>
    </w:p>
    <w:p>
      <w:pPr>
        <w:pStyle w:val="Normal"/>
        <w:ind w:end="-1800"/>
        <w:rPr>
          <w:b/>
          <w:i/>
          <w:i/>
        </w:rPr>
      </w:pPr>
      <w:r>
        <w:rPr>
          <w:b/>
        </w:rPr>
        <w:t>4.</w:t>
        <w:tab/>
        <w:t xml:space="preserve">In re: Kimball Trading, L.L.C., </w:t>
      </w:r>
      <w:r>
        <w:rPr/>
        <w:t xml:space="preserve">(Southern District of Texas) </w:t>
      </w:r>
      <w:r>
        <w:rPr>
          <w:i/>
        </w:rPr>
        <w:t xml:space="preserve">(Hirsch, Sheiness, Scott, </w:t>
        <w:tab/>
      </w:r>
    </w:p>
    <w:p>
      <w:pPr>
        <w:pStyle w:val="Normal"/>
        <w:keepNext w:val="true"/>
        <w:tabs>
          <w:tab w:val="left" w:pos="540" w:leader="none"/>
          <w:tab w:val="right" w:pos="10800" w:leader="none"/>
        </w:tabs>
        <w:ind w:hanging="540" w:start="540" w:end="0"/>
        <w:jc w:val="both"/>
        <w:rPr/>
      </w:pPr>
      <w:r>
        <w:rPr>
          <w:i/>
        </w:rPr>
        <w:tab/>
        <w:t xml:space="preserve">Grossman &amp; Cohn, L.L.P.-local counsel) (Litigation Unit - Davis) (Talcott) </w:t>
        <w:tab/>
      </w:r>
      <w:r>
        <w:rPr>
          <w:b/>
        </w:rPr>
        <w:t>NOT REVISED</w:t>
      </w:r>
    </w:p>
    <w:p>
      <w:pPr>
        <w:pStyle w:val="Normal"/>
        <w:numPr>
          <w:ilvl w:val="0"/>
          <w:numId w:val="20"/>
        </w:numPr>
        <w:ind w:hanging="540" w:start="540" w:end="0"/>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Northern has guaranty from debtor's affiliate.</w:t>
      </w:r>
    </w:p>
    <w:p>
      <w:pPr>
        <w:pStyle w:val="Normal"/>
        <w:numPr>
          <w:ilvl w:val="0"/>
          <w:numId w:val="20"/>
        </w:numPr>
        <w:ind w:hanging="540" w:start="540" w:end="0"/>
        <w:jc w:val="both"/>
        <w:rPr/>
      </w:pPr>
      <w:r>
        <w:rPr/>
        <w:t xml:space="preserve">STATUS:  By letter dated March 10, 1999, Kimball Trading rejected one substantial storage agreement with Northern; by letter dated March 15, 1999, Kimball Trading rejected the remainder of Northern's contracts.  Debtor also lists ECT as a creditor for approximately $428,000.  On March 31, 1999, </w:t>
      </w:r>
      <w:r>
        <w:rPr>
          <w:color w:val="000000"/>
        </w:rPr>
        <w:t>Court</w:t>
      </w:r>
      <w:r>
        <w:rPr/>
        <w:t xml:space="preserve"> denied part of debtors' emergency motions to assume or reject certain contracts.  At April 5, 1999 creditors' meeting, debtors announced intent to cease business as of May 1, 1999.  At first meeting of Unsecured Creditors Committee ("UCC") on April 21, Northern appointed chairperson and counsel selected.  On July 2, Northern filed proof of claim for $6,382,008.89.  As of July 13, proofs of claim amounted to over $200,000,000.  Debtor has objected to Northern's claim and asked that it be reduced to approximately $2.9 million; Debtor has filed objections to other claims as well.  UCC has agreed upon liquidating Trustee; proposed Liquidating Trust document being negotiated. </w:t>
      </w:r>
    </w:p>
    <w:p>
      <w:pPr>
        <w:pStyle w:val="Normal"/>
        <w:tabs>
          <w:tab w:val="left" w:pos="540" w:leader="none"/>
          <w:tab w:val="right" w:pos="10800" w:leader="none"/>
        </w:tabs>
        <w:ind w:hanging="540" w:start="540" w:end="0"/>
        <w:jc w:val="both"/>
        <w:rPr/>
      </w:pPr>
      <w:r>
        <w:rPr/>
      </w:r>
    </w:p>
    <w:p>
      <w:pPr>
        <w:pStyle w:val="Normal"/>
        <w:tabs>
          <w:tab w:val="left" w:pos="540" w:leader="none"/>
          <w:tab w:val="right" w:pos="10800" w:leader="none"/>
        </w:tabs>
        <w:ind w:hanging="547" w:start="547" w:end="0"/>
        <w:jc w:val="both"/>
        <w:rPr>
          <w:i/>
          <w:i/>
        </w:rPr>
      </w:pPr>
      <w:r>
        <w:rPr>
          <w:b/>
        </w:rPr>
        <w:t>5.</w:t>
        <w:tab/>
        <w:t>The Williams Co. v. State of Montana (State Tax Appeal Board of Montana)</w:t>
      </w:r>
      <w:r>
        <w:rPr/>
        <w:t xml:space="preserve"> </w:t>
      </w:r>
      <w:r>
        <w:rPr>
          <w:i/>
        </w:rPr>
        <w:t>(Enron Litigation Unit-Davis) (Vinson &amp; Elkins/Thompson, Jacobson &amp; Potts) (Talcott)</w:t>
      </w:r>
      <w:r>
        <w:rPr/>
        <w:tab/>
      </w:r>
      <w:r>
        <w:rPr>
          <w:b/>
        </w:rPr>
        <w:t>NOT REVISED</w:t>
      </w:r>
    </w:p>
    <w:p>
      <w:pPr>
        <w:pStyle w:val="Normal"/>
        <w:numPr>
          <w:ilvl w:val="0"/>
          <w:numId w:val="20"/>
        </w:numPr>
        <w:ind w:hanging="540" w:start="540" w:end="0"/>
        <w:jc w:val="both"/>
        <w:rPr/>
      </w:pPr>
      <w:r>
        <w:rPr/>
        <w:t>CAUSE OF ACTION:  Williams’ subsidiary, Northwest Alaska, contests state license tax assessment of nearly $4.5 million for Canadian gas sales.  Northwest Alaska contends it acted purely as conduit between Canadian gas sellers and domestic purchasers, like Northern, upon whom Northwest Alaska has made demand for indemnity under applicable Northwest Alaska tariff.</w:t>
      </w:r>
    </w:p>
    <w:p>
      <w:pPr>
        <w:pStyle w:val="Normal"/>
        <w:numPr>
          <w:ilvl w:val="0"/>
          <w:numId w:val="20"/>
        </w:numPr>
        <w:ind w:hanging="540" w:start="540" w:end="0"/>
        <w:jc w:val="both"/>
        <w:rPr/>
      </w:pPr>
      <w:r>
        <w:rPr/>
        <w:t xml:space="preserve">STATUS:  On December 31, 1998, the Board ruled against Northwest Alaska.  Northwest Alaska appealed.  Northern continues to monitor the claim.  </w:t>
      </w:r>
    </w:p>
    <w:p>
      <w:pPr>
        <w:pStyle w:val="Normal"/>
        <w:jc w:val="both"/>
        <w:rPr/>
      </w:pPr>
      <w:r>
        <w:rPr/>
      </w:r>
    </w:p>
    <w:p>
      <w:pPr>
        <w:pStyle w:val="BodyText2"/>
        <w:numPr>
          <w:ilvl w:val="0"/>
          <w:numId w:val="0"/>
        </w:numPr>
        <w:tabs>
          <w:tab w:val="clear" w:pos="720"/>
          <w:tab w:val="left" w:pos="1440" w:leader="none"/>
          <w:tab w:val="right" w:pos="10800" w:leader="none"/>
        </w:tabs>
        <w:ind w:hanging="540" w:start="540" w:end="0"/>
        <w:rPr/>
      </w:pPr>
      <w:r>
        <w:rPr>
          <w:b/>
        </w:rPr>
        <w:t xml:space="preserve">6. </w:t>
        <w:tab/>
        <w:t xml:space="preserve">Quinque Operating Company (Ditto) v. PG&amp;E, et al. (including Northern Natural Gas Company), Cause No. 99CV30; Dist. Ct. Stevens Co., Kansas (filed May 20, 1999) </w:t>
      </w:r>
      <w:r>
        <w:rPr>
          <w:i/>
        </w:rPr>
        <w:t>(Litigation Unit,</w:t>
      </w:r>
      <w:r>
        <w:rPr/>
        <w:t xml:space="preserve"> Holtzman</w:t>
      </w:r>
      <w:r>
        <w:rPr>
          <w:i/>
        </w:rPr>
        <w:t>)</w:t>
      </w:r>
      <w:r>
        <w:rPr>
          <w:b/>
        </w:rPr>
        <w:t xml:space="preserve"> </w:t>
        <w:tab/>
        <w:t>NOT REVISED</w:t>
      </w:r>
    </w:p>
    <w:p>
      <w:pPr>
        <w:pStyle w:val="Normal"/>
        <w:keepNext w:val="true"/>
        <w:numPr>
          <w:ilvl w:val="0"/>
          <w:numId w:val="0"/>
        </w:numPr>
        <w:tabs>
          <w:tab w:val="clear" w:pos="540"/>
          <w:tab w:val="right" w:pos="10800" w:leader="none"/>
        </w:tabs>
        <w:suppressAutoHyphens w:val="true"/>
        <w:ind w:hanging="540" w:start="540" w:end="0"/>
        <w:jc w:val="both"/>
        <w:rPr/>
      </w:pPr>
      <w:r>
        <w:rPr>
          <w:rFonts w:eastAsia="Symbol" w:cs="Symbol" w:ascii="Symbol" w:hAnsi="Symbol"/>
          <w:b/>
          <w:color w:val="000000"/>
        </w:rPr>
        <w:sym w:font="Symbol" w:char="f0b7"/>
      </w:r>
      <w:r>
        <w:rPr>
          <w:b/>
          <w:color w:val="000000"/>
        </w:rPr>
        <w:tab/>
      </w:r>
      <w:r>
        <w:rPr/>
        <w:t>CAUSE OF ACTION:  Class action, mis-measurement (both volume and heating</w:t>
      </w:r>
    </w:p>
    <w:p>
      <w:pPr>
        <w:pStyle w:val="BodyText2"/>
        <w:keepNext w:val="true"/>
        <w:widowControl/>
        <w:tabs>
          <w:tab w:val="clear" w:pos="720"/>
          <w:tab w:val="right" w:pos="10800" w:leader="none"/>
        </w:tabs>
        <w:suppressAutoHyphens w:val="true"/>
        <w:ind w:start="540" w:end="0"/>
        <w:rPr/>
      </w:pPr>
      <w:r>
        <w:rPr/>
        <w:t>content) (Grynberg claims, but on non-federal and non-Indian lands).</w:t>
      </w:r>
    </w:p>
    <w:p>
      <w:pPr>
        <w:pStyle w:val="BodyText2"/>
        <w:keepNext w:val="true"/>
        <w:widowControl/>
        <w:numPr>
          <w:ilvl w:val="0"/>
          <w:numId w:val="2"/>
        </w:numPr>
        <w:tabs>
          <w:tab w:val="clear" w:pos="720"/>
          <w:tab w:val="right" w:pos="10800" w:leader="none"/>
        </w:tabs>
        <w:suppressAutoHyphens w:val="true"/>
        <w:ind w:hanging="540" w:start="540" w:end="0"/>
        <w:rPr/>
      </w:pPr>
      <w:r>
        <w:rPr/>
        <w:t>STATUS: See Quinque Operating Company (Ditto) v. PG&amp;E under FGT report .</w:t>
      </w:r>
    </w:p>
    <w:p>
      <w:pPr>
        <w:pStyle w:val="Normal"/>
        <w:jc w:val="both"/>
        <w:rPr/>
      </w:pPr>
      <w:r>
        <w:rPr/>
      </w:r>
    </w:p>
    <w:p>
      <w:pPr>
        <w:pStyle w:val="Normal"/>
        <w:tabs>
          <w:tab w:val="clear" w:pos="540"/>
          <w:tab w:val="right" w:pos="10800" w:leader="none"/>
        </w:tabs>
        <w:ind w:hanging="540" w:start="540" w:end="0"/>
        <w:jc w:val="both"/>
        <w:rPr>
          <w:rFonts w:ascii="Helv;Arial" w:hAnsi="Helv;Arial" w:cs="Helv;Arial"/>
          <w:i/>
          <w:i/>
          <w:color w:val="000000"/>
          <w:lang w:eastAsia="en-US"/>
        </w:rPr>
      </w:pPr>
      <w:r>
        <w:rPr>
          <w:rFonts w:cs="Helv;Arial" w:ascii="Helv;Arial" w:hAnsi="Helv;Arial"/>
          <w:b/>
          <w:color w:val="000000"/>
          <w:lang w:eastAsia="en-US"/>
        </w:rPr>
        <w:t>7.</w:t>
      </w:r>
      <w:r>
        <w:rPr>
          <w:rFonts w:cs="Helv;Arial" w:ascii="Helv;Arial" w:hAnsi="Helv;Arial"/>
          <w:color w:val="000000"/>
          <w:lang w:eastAsia="en-US"/>
        </w:rPr>
        <w:tab/>
      </w:r>
      <w:r>
        <w:rPr>
          <w:rFonts w:cs="Helv;Arial" w:ascii="Helv;Arial" w:hAnsi="Helv;Arial"/>
          <w:b/>
          <w:color w:val="000000"/>
          <w:lang w:eastAsia="en-US"/>
        </w:rPr>
        <w:t>Northern Natural Gas Company, Oelwein, Iowa Incident</w:t>
      </w:r>
      <w:r>
        <w:rPr>
          <w:rFonts w:cs="Helv;Arial" w:ascii="Helv;Arial" w:hAnsi="Helv;Arial"/>
          <w:color w:val="000000"/>
          <w:lang w:eastAsia="en-US"/>
        </w:rPr>
        <w:t xml:space="preserve"> </w:t>
      </w:r>
      <w:r>
        <w:rPr>
          <w:rFonts w:cs="Helv;Arial" w:ascii="Helv;Arial" w:hAnsi="Helv;Arial"/>
          <w:i/>
          <w:color w:val="000000"/>
          <w:lang w:eastAsia="en-US"/>
        </w:rPr>
        <w:t>(Talcott)</w:t>
        <w:tab/>
      </w:r>
      <w:r>
        <w:rPr>
          <w:rFonts w:cs="Helv;Arial" w:ascii="Helv;Arial" w:hAnsi="Helv;Arial"/>
          <w:b/>
          <w:i/>
          <w:color w:val="000000"/>
          <w:lang w:eastAsia="en-US"/>
        </w:rPr>
        <w:t>NOT REVISED</w:t>
      </w:r>
    </w:p>
    <w:p>
      <w:pPr>
        <w:pStyle w:val="Normal"/>
        <w:tabs>
          <w:tab w:val="clear" w:pos="540"/>
          <w:tab w:val="right" w:pos="10800" w:leader="none"/>
        </w:tabs>
        <w:ind w:hanging="540" w:start="540" w:end="0"/>
        <w:jc w:val="both"/>
        <w:rPr/>
      </w:pPr>
      <w:r>
        <w:rPr>
          <w:rFonts w:cs="Helv;Arial" w:ascii="Helv;Arial" w:hAnsi="Helv;Arial"/>
          <w:b/>
          <w:color w:val="000000"/>
          <w:lang w:eastAsia="en-US"/>
        </w:rPr>
        <w:tab/>
      </w:r>
      <w:r>
        <w:rPr>
          <w:rFonts w:cs="Helv;Arial" w:ascii="Helv;Arial" w:hAnsi="Helv;Arial"/>
          <w:color w:val="000000"/>
          <w:lang w:eastAsia="en-US"/>
        </w:rPr>
        <w:t>On November 11, 1999, Northern's 10" pipeline ruptured during repairs after being struck by a tiling machine, killing one employee and seriously injuring another.  The tiller failed to properly use the Iowa One-Call procedures.  No third parties were injured.  The accident is under investigation by the Office of Pipeline Safety which has conducted on-site interviews at Northern's Waterloo, Iowa office and will send follow-up data requests to Northern.</w:t>
      </w:r>
    </w:p>
    <w:p>
      <w:pPr>
        <w:pStyle w:val="Normal"/>
        <w:tabs>
          <w:tab w:val="clear" w:pos="540"/>
          <w:tab w:val="right" w:pos="10800" w:leader="none"/>
        </w:tabs>
        <w:ind w:hanging="540" w:start="540" w:end="0"/>
        <w:jc w:val="both"/>
        <w:rPr>
          <w:rFonts w:ascii="Helv;Arial" w:hAnsi="Helv;Arial" w:cs="Helv;Arial"/>
          <w:color w:val="000000"/>
          <w:lang w:eastAsia="en-US"/>
        </w:rPr>
      </w:pPr>
      <w:r>
        <w:rPr>
          <w:rFonts w:cs="Helv;Arial" w:ascii="Helv;Arial" w:hAnsi="Helv;Arial"/>
          <w:color w:val="000000"/>
          <w:lang w:eastAsia="en-US"/>
        </w:rPr>
      </w:r>
    </w:p>
    <w:p>
      <w:pPr>
        <w:pStyle w:val="Normal"/>
        <w:keepNext w:val="true"/>
        <w:tabs>
          <w:tab w:val="left" w:pos="540" w:leader="none"/>
          <w:tab w:val="center" w:pos="5400" w:leader="none"/>
          <w:tab w:val="right" w:pos="10800" w:leader="none"/>
        </w:tabs>
        <w:rPr>
          <w:b/>
        </w:rPr>
      </w:pPr>
      <w:r>
        <w:rPr>
          <w:b/>
        </w:rPr>
        <w:tab/>
        <w:tab/>
        <w:t xml:space="preserve">III.  </w:t>
      </w:r>
      <w:r>
        <w:rPr>
          <w:b/>
          <w:u w:val="single"/>
        </w:rPr>
        <w:t>FLORIDA GAS TRANSMISSION COMPANY</w:t>
      </w:r>
    </w:p>
    <w:p>
      <w:pPr>
        <w:pStyle w:val="Normal"/>
        <w:keepNext w:val="true"/>
        <w:tabs>
          <w:tab w:val="left" w:pos="540" w:leader="none"/>
          <w:tab w:val="right" w:pos="10800" w:leader="none"/>
        </w:tabs>
        <w:rPr>
          <w:b/>
        </w:rPr>
      </w:pPr>
      <w:r>
        <w:rPr>
          <w:b/>
          <w:u w:val="single"/>
        </w:rPr>
        <w:t>REGULATORY</w:t>
      </w:r>
    </w:p>
    <w:p>
      <w:pPr>
        <w:pStyle w:val="Normal"/>
        <w:keepNext w:val="true"/>
        <w:tabs>
          <w:tab w:val="left" w:pos="540" w:leader="none"/>
          <w:tab w:val="right" w:pos="10800" w:leader="none"/>
        </w:tabs>
        <w:rPr>
          <w:b/>
        </w:rPr>
      </w:pPr>
      <w:r>
        <w:rPr>
          <w:b/>
        </w:rPr>
      </w:r>
    </w:p>
    <w:p>
      <w:pPr>
        <w:pStyle w:val="Heading4"/>
        <w:rPr/>
      </w:pPr>
      <w:r>
        <w:rPr/>
        <w:t>1</w:t>
      </w:r>
      <w:r>
        <w:rPr>
          <w:b w:val="false"/>
        </w:rPr>
        <w:t>.</w:t>
      </w:r>
      <w:r>
        <w:rPr/>
        <w:tab/>
        <w:t xml:space="preserve">Florida Gas Transmission Company, Docket No. CP99-94 </w:t>
      </w:r>
      <w:r>
        <w:rPr>
          <w:b w:val="false"/>
          <w:i/>
        </w:rPr>
        <w:t>(McCoppin</w:t>
      </w:r>
      <w:r>
        <w:rPr>
          <w:i/>
        </w:rPr>
        <w:t>)</w:t>
        <w:tab/>
      </w:r>
      <w:r>
        <w:rPr/>
        <w:t>NOT REVISED</w:t>
      </w:r>
    </w:p>
    <w:p>
      <w:pPr>
        <w:pStyle w:val="Normal"/>
        <w:tabs>
          <w:tab w:val="left" w:pos="540" w:leader="none"/>
          <w:tab w:val="right" w:pos="10800" w:leader="none"/>
        </w:tabs>
        <w:ind w:hanging="540" w:start="540" w:end="0"/>
        <w:jc w:val="both"/>
        <w:rPr/>
      </w:pPr>
      <w:r>
        <w:rPr/>
        <w:tab/>
        <w:t>On December 1, 1998, FGT filed an application to construct 205 miles of pipeline and 48,570 hp of compression (at estimated cost of $351MM) in order to extend its pipeline to Ft. Myers, Florida and to expand its capacity by 272,000 MMBtu/d (average annual basis).  FGT also requested that the Commission find that the expansion costs may be rolled-in to the FTS-2 (Phase III Expansion) service.  FGT requested certain accounting treatment for revenues related to the delivery of gas to FPL to test its repowered generating units at Ft. Myers. Several Protests were filed.  On June 2, FGT filed an Offer of Settlement which provides for issuance of a Preliminary Determination (PD) and in which: 1) all FTS-2 shippers are afforded rate caps and GRI discounts; 2) FGT agrees not to file a rate case until 10-1-2001 but must file by 10-1-2003 (amending rate case settlement); 3) requests relating to accounting treatment on plant testing revenues and acceptance of excess unscribed capacity, without rate risk for FGT, are agreed to as filed. No adverse comments were filed except by one landowner, opposing issuance of a PD.  On July 30, 1999, the PD was issued which approved the Settlement and resolved all non-environmental issues.  On August 23, FGT filed a Notice of Deletion of Facilities, relating to the termination and amendment of firm contracts with ECT (for the City of Lakeland and Duke Energy, respectively).</w:t>
      </w:r>
      <w:r>
        <w:rPr>
          <w:sz w:val="24"/>
        </w:rPr>
        <w:t xml:space="preserve"> </w:t>
      </w:r>
      <w:r>
        <w:rPr/>
        <w:t>On October 4, the Commission issued notice of availability of draft environmental impact statement. Comments are due November 22.  On October 18, 22, and 27, FGT filed its response to additional environmental requests from Staff.</w:t>
      </w:r>
    </w:p>
    <w:p>
      <w:pPr>
        <w:pStyle w:val="Normal"/>
        <w:keepNext w:val="true"/>
        <w:tabs>
          <w:tab w:val="left" w:pos="540" w:leader="none"/>
          <w:tab w:val="right" w:pos="10800" w:leader="none"/>
        </w:tabs>
        <w:jc w:val="both"/>
        <w:rPr/>
      </w:pPr>
      <w:r>
        <w:rPr/>
      </w:r>
    </w:p>
    <w:p>
      <w:pPr>
        <w:pStyle w:val="Heading4"/>
        <w:rPr/>
      </w:pPr>
      <w:r>
        <w:rPr/>
        <w:t>2.</w:t>
      </w:r>
      <w:r>
        <w:rPr>
          <w:b w:val="false"/>
        </w:rPr>
        <w:tab/>
      </w:r>
      <w:r>
        <w:rPr/>
        <w:t xml:space="preserve">Florida Gas Transmission Company, Docket No. CP99-229 </w:t>
      </w:r>
      <w:r>
        <w:rPr>
          <w:b w:val="false"/>
          <w:i/>
        </w:rPr>
        <w:t>(King</w:t>
      </w:r>
      <w:r>
        <w:rPr>
          <w:i/>
        </w:rPr>
        <w:t>)</w:t>
      </w:r>
      <w:r>
        <w:rPr>
          <w:b w:val="false"/>
        </w:rPr>
        <w:t xml:space="preserve"> </w:t>
        <w:tab/>
      </w:r>
      <w:r>
        <w:rPr/>
        <w:t>NOT REVISED</w:t>
      </w:r>
    </w:p>
    <w:p>
      <w:pPr>
        <w:pStyle w:val="Normal"/>
        <w:ind w:hanging="540" w:start="540" w:end="0"/>
        <w:jc w:val="both"/>
        <w:rPr/>
      </w:pPr>
      <w:r>
        <w:rPr/>
        <w:tab/>
        <w:t>On February 26, 1999, FGT filed for authorization to abandon certain pipeline and laterals connected to the Hialeah NW meter station due to road construction in the area.  Abandoning the facilities instead of relocation will result in a cost savings, without affecting any firm service.  Protests were due March 26, 1999; none were received.  Awaiting Commission action.</w:t>
      </w:r>
    </w:p>
    <w:p>
      <w:pPr>
        <w:pStyle w:val="Normal"/>
        <w:ind w:hanging="540" w:start="540" w:end="0"/>
        <w:jc w:val="both"/>
        <w:rPr/>
      </w:pPr>
      <w:r>
        <w:rPr/>
      </w:r>
    </w:p>
    <w:p>
      <w:pPr>
        <w:pStyle w:val="Normal"/>
        <w:tabs>
          <w:tab w:val="left" w:pos="540" w:leader="none"/>
          <w:tab w:val="right" w:pos="10800" w:leader="none"/>
        </w:tabs>
        <w:ind w:hanging="540" w:start="540" w:end="0"/>
        <w:jc w:val="both"/>
        <w:rPr/>
      </w:pPr>
      <w:r>
        <w:rPr>
          <w:b/>
        </w:rPr>
        <w:t>3.</w:t>
        <w:tab/>
        <w:t xml:space="preserve">Florida Gas Transmission Company, Docket No. CP99-233 </w:t>
      </w:r>
      <w:r>
        <w:rPr>
          <w:i/>
        </w:rPr>
        <w:t>(King)</w:t>
        <w:tab/>
      </w:r>
      <w:r>
        <w:rPr>
          <w:b/>
        </w:rPr>
        <w:t>NOT REVISED</w:t>
      </w:r>
    </w:p>
    <w:p>
      <w:pPr>
        <w:pStyle w:val="Normal"/>
        <w:tabs>
          <w:tab w:val="left" w:pos="540" w:leader="none"/>
          <w:tab w:val="right" w:pos="10800" w:leader="none"/>
        </w:tabs>
        <w:ind w:hanging="540" w:start="540" w:end="0"/>
        <w:jc w:val="both"/>
        <w:rPr/>
      </w:pPr>
      <w:r>
        <w:rPr/>
        <w:tab/>
        <w:t>On March 3, 1999, FGT filed for authorization to abandon by sale to Copano Pipelines/South Texas, L.P. (for $4.2MM) 70.25 miles of 20" diameter pipeline (located south of the FGT/MOPS interconnect in South Texas), along with Compressor Station No. 2 and related facilities.  Such line requires rehabilitation or replacement (which is estimated at $35MM) and only 7% of 140,000 of capacity is being utilized by FGT's shippers to move primary firm volumes.  Protests were filed by Chevron, et al.  Order approving abandonment was issued July 6, 1999.  On August 5, Chevron filed a Request for Rehearing or Clarification.  On August 27, FGT filed an answer to Request for Rehearing or Clarification filed by Chevron.</w:t>
      </w:r>
      <w:r>
        <w:rPr>
          <w:sz w:val="24"/>
        </w:rPr>
        <w:t xml:space="preserve"> </w:t>
      </w:r>
      <w:r>
        <w:rPr/>
        <w:t xml:space="preserve"> FGT is negotiating a settlement with Chevron to obtain a withdrawal of the request for rehearing</w:t>
      </w:r>
      <w:r>
        <w:rPr>
          <w:sz w:val="24"/>
        </w:rPr>
        <w:t>.</w:t>
      </w:r>
    </w:p>
    <w:p>
      <w:pPr>
        <w:pStyle w:val="Normal"/>
        <w:tabs>
          <w:tab w:val="left" w:pos="540" w:leader="none"/>
          <w:tab w:val="right" w:pos="10800" w:leader="none"/>
        </w:tabs>
        <w:ind w:hanging="540" w:start="540" w:end="0"/>
        <w:jc w:val="both"/>
        <w:rPr/>
      </w:pPr>
      <w:r>
        <w:rPr/>
      </w:r>
    </w:p>
    <w:p>
      <w:pPr>
        <w:pStyle w:val="Normal"/>
        <w:tabs>
          <w:tab w:val="left" w:pos="540" w:leader="none"/>
          <w:tab w:val="right" w:pos="10800" w:leader="none"/>
        </w:tabs>
        <w:ind w:hanging="540" w:start="540" w:end="0"/>
        <w:jc w:val="both"/>
        <w:rPr/>
      </w:pPr>
      <w:r>
        <w:rPr>
          <w:b/>
        </w:rPr>
        <w:t>4.</w:t>
        <w:tab/>
        <w:t xml:space="preserve">Florida Gas Transmission Company, Docket No. CP00-4 </w:t>
      </w:r>
      <w:r>
        <w:rPr>
          <w:i/>
        </w:rPr>
        <w:t>(King)</w:t>
        <w:tab/>
      </w:r>
      <w:r>
        <w:rPr>
          <w:b/>
        </w:rPr>
        <w:t>NOT REVISED</w:t>
      </w:r>
    </w:p>
    <w:p>
      <w:pPr>
        <w:pStyle w:val="Normal"/>
        <w:tabs>
          <w:tab w:val="left" w:pos="540" w:leader="none"/>
          <w:tab w:val="right" w:pos="10800" w:leader="none"/>
        </w:tabs>
        <w:ind w:hanging="540" w:start="540" w:end="0"/>
        <w:jc w:val="both"/>
        <w:rPr/>
      </w:pPr>
      <w:r>
        <w:rPr/>
        <w:tab/>
        <w:t>On October 12, 1999, FGT filed an application for permission to (1) upgrade two compressor engines at Station 11A by increasing the horsepower by 4,800 HP, and (2) install the necessary auxiliary facilities at Station 11A.  This expansion allows FGT to transport 80,000 MMBtu per day from Destin Pipeline to Alabama Electric Cooperative ("Western Division Expansion").  Protests are due November 9, 1999.</w:t>
      </w:r>
    </w:p>
    <w:p>
      <w:pPr>
        <w:pStyle w:val="Normal"/>
        <w:tabs>
          <w:tab w:val="left" w:pos="540" w:leader="none"/>
          <w:tab w:val="right" w:pos="10800" w:leader="none"/>
        </w:tabs>
        <w:ind w:hanging="540" w:start="540" w:end="0"/>
        <w:jc w:val="both"/>
        <w:rPr/>
      </w:pPr>
      <w:r>
        <w:rPr/>
      </w:r>
    </w:p>
    <w:p>
      <w:pPr>
        <w:pStyle w:val="Heading7"/>
        <w:rPr>
          <w:u w:val="none"/>
        </w:rPr>
      </w:pPr>
      <w:r>
        <w:rPr/>
        <w:t>LITIGATION</w:t>
      </w:r>
    </w:p>
    <w:p>
      <w:pPr>
        <w:pStyle w:val="Normal"/>
        <w:keepNext w:val="true"/>
        <w:tabs>
          <w:tab w:val="left" w:pos="540" w:leader="none"/>
          <w:tab w:val="right" w:pos="10800" w:leader="none"/>
        </w:tabs>
        <w:rPr>
          <w:u w:val="none"/>
        </w:rPr>
      </w:pPr>
      <w:r>
        <w:rPr>
          <w:u w:val="none"/>
        </w:rPr>
      </w:r>
    </w:p>
    <w:p>
      <w:pPr>
        <w:pStyle w:val="Normal"/>
        <w:keepNext w:val="true"/>
        <w:tabs>
          <w:tab w:val="left" w:pos="540" w:leader="none"/>
          <w:tab w:val="right" w:pos="10800" w:leader="none"/>
        </w:tabs>
        <w:ind w:hanging="540" w:start="540" w:end="0"/>
        <w:jc w:val="both"/>
        <w:rPr>
          <w:b/>
          <w:color w:val="000000"/>
          <w:spacing w:val="-2"/>
        </w:rPr>
      </w:pPr>
      <w:r>
        <w:rPr>
          <w:b/>
          <w:color w:val="000000"/>
          <w:spacing w:val="-2"/>
        </w:rPr>
      </w:r>
    </w:p>
    <w:p>
      <w:pPr>
        <w:pStyle w:val="Normal"/>
        <w:keepNext w:val="true"/>
        <w:tabs>
          <w:tab w:val="clear" w:pos="540"/>
          <w:tab w:val="right" w:pos="10800" w:leader="none"/>
        </w:tabs>
        <w:ind w:hanging="547" w:start="547" w:end="0"/>
        <w:jc w:val="both"/>
        <w:rPr/>
      </w:pPr>
      <w:r>
        <w:rPr>
          <w:b/>
        </w:rPr>
        <w:t>1.</w:t>
        <w:tab/>
        <w:t>Florida Gas Transmission Company v. Wenzcel Tile Company, Civil Action No. 93-907-CIV-Orl. 22 (United States District Court, M.D. Fla.)</w:t>
      </w:r>
      <w:r>
        <w:rPr/>
        <w:t xml:space="preserve"> (Filed October 18, 1993) (Served—NA) </w:t>
      </w:r>
      <w:r>
        <w:rPr>
          <w:i/>
        </w:rPr>
        <w:t>(Litigation Unit) (Holtzman</w:t>
      </w:r>
      <w:r>
        <w:rPr/>
        <w:t>)</w:t>
      </w:r>
      <w:r>
        <w:rPr>
          <w:b/>
        </w:rPr>
        <w:tab/>
        <w:t>NOT REVISED</w:t>
      </w:r>
    </w:p>
    <w:p>
      <w:pPr>
        <w:pStyle w:val="Normal"/>
        <w:numPr>
          <w:ilvl w:val="0"/>
          <w:numId w:val="21"/>
        </w:numPr>
        <w:tabs>
          <w:tab w:val="left" w:pos="540" w:leader="none"/>
          <w:tab w:val="right" w:pos="10800" w:leader="none"/>
        </w:tabs>
        <w:jc w:val="both"/>
        <w:rPr/>
      </w:pPr>
      <w:r>
        <w:rPr/>
        <w:t>CAUSE OF ACTION:  Breach of contract action.</w:t>
      </w:r>
    </w:p>
    <w:p>
      <w:pPr>
        <w:pStyle w:val="Normal"/>
        <w:numPr>
          <w:ilvl w:val="0"/>
          <w:numId w:val="21"/>
        </w:numPr>
        <w:tabs>
          <w:tab w:val="left" w:pos="540" w:leader="none"/>
          <w:tab w:val="right" w:pos="10800" w:leader="none"/>
        </w:tabs>
        <w:jc w:val="both"/>
        <w:rPr/>
      </w:pPr>
      <w:r>
        <w:rPr/>
        <w:t xml:space="preserve">STATUS:  On October 19, 1993, Wenzcel Tile filed for bankruptcy protection under Chapter 11.  Wenzcel filed an amended petition under Chapter 7 in July of 1994.  FGT amended its claim in bankruptcy court to include $7,097 in Sonat take-or-pay charges that Wenzcel owes FGT.  We await ruling and payment. </w:t>
      </w:r>
    </w:p>
    <w:p>
      <w:pPr>
        <w:pStyle w:val="Footer"/>
        <w:tabs>
          <w:tab w:val="clear" w:pos="4320"/>
          <w:tab w:val="clear" w:pos="8640"/>
          <w:tab w:val="left" w:pos="540" w:leader="none"/>
        </w:tabs>
        <w:rPr/>
      </w:pPr>
      <w:r>
        <w:rPr/>
      </w:r>
    </w:p>
    <w:p>
      <w:pPr>
        <w:pStyle w:val="BodyText2"/>
        <w:tabs>
          <w:tab w:val="clear" w:pos="720"/>
          <w:tab w:val="left" w:pos="540" w:leader="none"/>
          <w:tab w:val="right" w:pos="10800" w:leader="none"/>
        </w:tabs>
        <w:ind w:hanging="540" w:start="540" w:end="0"/>
        <w:rPr/>
      </w:pPr>
      <w:r>
        <w:rPr>
          <w:b/>
          <w:color w:val="000000"/>
          <w:spacing w:val="-2"/>
        </w:rPr>
        <w:t>2.</w:t>
        <w:tab/>
      </w:r>
      <w:r>
        <w:rPr>
          <w:b/>
        </w:rPr>
        <w:t>Grynberg v. Enron, et al. ("Grynberg II") (including FGT, Northern Natural Gas Company and Transwestern Pipeline Company) (97D-1421 Dist. Colo</w:t>
      </w:r>
      <w:r>
        <w:rPr>
          <w:b/>
          <w:i/>
        </w:rPr>
        <w:t xml:space="preserve">.) </w:t>
      </w:r>
      <w:r>
        <w:rPr>
          <w:i/>
        </w:rPr>
        <w:t>(Gibbs &amp; Brun, Vinson &amp; Elkins, etc.) (Litigation Unit) (Holtzman)</w:t>
      </w:r>
      <w:r>
        <w:rPr>
          <w:b/>
          <w:i/>
        </w:rPr>
        <w:tab/>
      </w:r>
      <w:r>
        <w:rPr>
          <w:b/>
        </w:rPr>
        <w:t>NOT REVISED</w:t>
      </w:r>
    </w:p>
    <w:p>
      <w:pPr>
        <w:pStyle w:val="Normal"/>
        <w:numPr>
          <w:ilvl w:val="0"/>
          <w:numId w:val="20"/>
        </w:numPr>
        <w:tabs>
          <w:tab w:val="left" w:pos="540" w:leader="none"/>
          <w:tab w:val="right" w:pos="10800" w:leader="none"/>
        </w:tabs>
        <w:ind w:hanging="540" w:start="540" w:end="0"/>
        <w:jc w:val="both"/>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20"/>
        </w:numPr>
        <w:tabs>
          <w:tab w:val="clear" w:pos="720"/>
          <w:tab w:val="right" w:pos="10800" w:leader="none"/>
        </w:tabs>
        <w:ind w:hanging="540" w:start="540" w:end="0"/>
        <w:rPr/>
      </w:pPr>
      <w:r>
        <w:rPr/>
        <w:t>STATUS:  On April 9, DOJ declined to intervene in the Grynberg cases.  On May 12, we received Grynberg's Motion to Consolidate, through "MDL", the cases in Colorado, to which a response was filed on June 28..  We did not oppose the cases being MDL'd in Wyoming in exchange for an agreement that we do not have to answer until after the MDL panel rules.  We were served on June 14.  We are preparing Rule 9(b) and Rule 12(b)(6) Motions to Dismiss.  MDL panel transferred the case to Wyoming (for pre-trial disposition) on October 20.  Our answer, along with Motions to Dismiss under Rule 9(b) and 12(b)(6) was filed on November 19.  A pretrial conference is set for December 15 in Casper, Wyoming</w:t>
      </w:r>
    </w:p>
    <w:p>
      <w:pPr>
        <w:pStyle w:val="Normal"/>
        <w:rPr/>
      </w:pPr>
      <w:r>
        <w:rPr/>
      </w:r>
    </w:p>
    <w:p>
      <w:pPr>
        <w:pStyle w:val="Normal"/>
        <w:tabs>
          <w:tab w:val="left" w:pos="540" w:leader="none"/>
          <w:tab w:val="right" w:pos="10800" w:leader="none"/>
        </w:tabs>
        <w:ind w:hanging="540" w:start="540" w:end="0"/>
        <w:jc w:val="both"/>
        <w:rPr/>
      </w:pPr>
      <w:r>
        <w:rPr>
          <w:b/>
        </w:rPr>
        <w:t>3.</w:t>
        <w:tab/>
        <w:t>Grynberg v. Sonat,  et al. (including FGT), Citrus Corp., and Citrus Interstate Pipeline Company (CV No. 97-2087, Sect C, Mag2, Eastern Dist. Louisiana)</w:t>
      </w:r>
      <w:r>
        <w:rPr/>
        <w:t xml:space="preserve">  </w:t>
      </w:r>
      <w:r>
        <w:rPr>
          <w:i/>
        </w:rPr>
        <w:t>(Gibbs &amp; Brun, Vinson &amp; Elkins, etc.) (Litigation Unit) (Holtzman)</w:t>
      </w:r>
      <w:r>
        <w:rPr/>
        <w:tab/>
      </w:r>
      <w:r>
        <w:rPr>
          <w:b/>
        </w:rPr>
        <w:t>NOT</w:t>
      </w:r>
      <w:r>
        <w:rPr/>
        <w:t xml:space="preserve"> </w:t>
      </w:r>
      <w:r>
        <w:rPr>
          <w:b/>
        </w:rPr>
        <w:t>REVISED</w:t>
      </w:r>
    </w:p>
    <w:p>
      <w:pPr>
        <w:pStyle w:val="BodyText2"/>
        <w:widowControl/>
        <w:numPr>
          <w:ilvl w:val="0"/>
          <w:numId w:val="12"/>
        </w:numPr>
        <w:tabs>
          <w:tab w:val="clear" w:pos="720"/>
          <w:tab w:val="right" w:pos="10800" w:leader="none"/>
        </w:tabs>
        <w:ind w:hanging="540" w:start="540" w:end="0"/>
        <w:rPr/>
      </w:pPr>
      <w:r>
        <w:rPr/>
        <w:t>CAUSE OF ACTION: Grynberg also filed under seal an action against Sonat, Citrus Corp., FGT and 7 other companies in the Eastern District of Louisiana.</w:t>
      </w:r>
    </w:p>
    <w:p>
      <w:pPr>
        <w:pStyle w:val="BodyText2"/>
        <w:widowControl/>
        <w:numPr>
          <w:ilvl w:val="0"/>
          <w:numId w:val="20"/>
        </w:numPr>
        <w:tabs>
          <w:tab w:val="clear" w:pos="720"/>
          <w:tab w:val="right" w:pos="10800" w:leader="none"/>
        </w:tabs>
        <w:ind w:hanging="540" w:start="540" w:end="0"/>
        <w:rPr/>
      </w:pPr>
      <w:r>
        <w:rPr/>
        <w:t>STATUS:  On April 9, DOJ declined to intervene in any cases.  On April 7, FGT received a request for waiver of service.  Citrus and CIPCO have also received requests for waiver of service.  We have waived service, which makes our answer due on June 5.  We are preparing Rule 9(b) and Rule 12(b)(6) Motions to Dismiss, as well as a Motion to Transfer Citrus Corp., CIPCO, and FGT to Houston.  MDL panel ruled on October 20 to consolidate the cases for pretrial disposition in Wyoming.  Our answer, along with Motions to Dismiss under Rule 9(b) and 12(b)(6) was filed on November 19.    A pretrial conference is set for December 15 in Casper, Wyoming.</w:t>
      </w:r>
    </w:p>
    <w:p>
      <w:pPr>
        <w:pStyle w:val="BodyText2"/>
        <w:widowControl/>
        <w:tabs>
          <w:tab w:val="clear" w:pos="720"/>
          <w:tab w:val="right" w:pos="10800" w:leader="none"/>
        </w:tabs>
        <w:rPr/>
      </w:pPr>
      <w:r>
        <w:rPr/>
      </w:r>
    </w:p>
    <w:p>
      <w:pPr>
        <w:pStyle w:val="Normal"/>
        <w:keepNext w:val="true"/>
        <w:tabs>
          <w:tab w:val="left" w:pos="540" w:leader="none"/>
          <w:tab w:val="right" w:pos="10800" w:leader="none"/>
        </w:tabs>
        <w:ind w:hanging="540" w:start="540" w:end="0"/>
        <w:jc w:val="both"/>
        <w:rPr/>
      </w:pPr>
      <w:r>
        <w:rPr>
          <w:b/>
        </w:rPr>
        <w:t>4.</w:t>
        <w:tab/>
        <w:t>Moye v. Exxon Corp., Florida Gas Transmission Company, et al; Cause No. CV</w:t>
        <w:noBreakHyphen/>
        <w:t xml:space="preserve">98-20; In the Circuit Court of Monroe County, Alabama. </w:t>
      </w:r>
      <w:r>
        <w:rPr/>
        <w:t xml:space="preserve">(Filed January 26, 1998) (Served January 28, 1998) </w:t>
      </w:r>
      <w:r>
        <w:rPr>
          <w:i/>
        </w:rPr>
        <w:t>(Maynard, Cooper, Gale—Alabama; Vinson &amp; Elkins) (Litigation Unit) (Holtzman)</w:t>
      </w:r>
      <w:r>
        <w:rPr/>
        <w:tab/>
      </w:r>
      <w:r>
        <w:rPr>
          <w:b/>
        </w:rPr>
        <w:t>NOT REVISED</w:t>
      </w:r>
    </w:p>
    <w:p>
      <w:pPr>
        <w:pStyle w:val="BodyText2"/>
        <w:widowControl/>
        <w:numPr>
          <w:ilvl w:val="0"/>
          <w:numId w:val="12"/>
        </w:numPr>
        <w:tabs>
          <w:tab w:val="clear" w:pos="720"/>
          <w:tab w:val="right" w:pos="10800" w:leader="none"/>
        </w:tabs>
        <w:ind w:hanging="540" w:start="540" w:end="0"/>
        <w:rPr/>
      </w:pPr>
      <w:r>
        <w:rPr/>
        <w:t>CAUSE OF ACTION:  Class action lawsuit filed by mineral owner in Escambia County, Alabama requesting damages for underpayment of royalties due on production of gas and other miners.  Complaints allege that defendants knowingly under-measured the gas and its true heating content.  Compensatory and punitive damages requested and injunctive relief sought.</w:t>
      </w:r>
    </w:p>
    <w:p>
      <w:pPr>
        <w:pStyle w:val="BodyText2"/>
        <w:widowControl/>
        <w:numPr>
          <w:ilvl w:val="0"/>
          <w:numId w:val="12"/>
        </w:numPr>
        <w:tabs>
          <w:tab w:val="clear" w:pos="720"/>
          <w:tab w:val="right" w:pos="10800" w:leader="none"/>
        </w:tabs>
        <w:ind w:hanging="547" w:start="547" w:end="0"/>
        <w:rPr/>
      </w:pPr>
      <w:r>
        <w:rPr/>
        <w:t xml:space="preserve">STATUS:  We presented a  tolling agreement to Exxon regarding the indemnity issues under the Exxon gas purchase agreements.  On December 4 the Court issued </w:t>
      </w:r>
      <w:r>
        <w:rPr>
          <w:caps/>
        </w:rPr>
        <w:t>c</w:t>
      </w:r>
      <w:r>
        <w:rPr/>
        <w:t xml:space="preserve">ase </w:t>
      </w:r>
      <w:r>
        <w:rPr>
          <w:caps/>
        </w:rPr>
        <w:t>m</w:t>
      </w:r>
      <w:r>
        <w:rPr/>
        <w:t xml:space="preserve">anagement </w:t>
      </w:r>
      <w:r>
        <w:rPr>
          <w:caps/>
        </w:rPr>
        <w:t>o</w:t>
      </w:r>
      <w:r>
        <w:rPr/>
        <w:t>rder #1 which bifurcated discovery into two issues: (1) class certification and (2) merits.  The Court preliminarily scheduled a hearing on class certification for Fall, 1999, "if feasible".  Defendants plan to file motion for summary judgment to eliminate all or part of the causes of action against FGT.  Exxon advised that Grynberg has been fired as Plaintiff's expert witness.  The September 27 deposition scheduled for the Exxon corporate representative was postponed indefinitely.  Plaintiffs have agreed to abate the case for 120 days.</w:t>
      </w:r>
    </w:p>
    <w:p>
      <w:pPr>
        <w:pStyle w:val="BodyText2"/>
        <w:widowControl/>
        <w:tabs>
          <w:tab w:val="clear" w:pos="720"/>
          <w:tab w:val="right" w:pos="10800" w:leader="none"/>
        </w:tabs>
        <w:rPr/>
      </w:pPr>
      <w:r>
        <w:rPr/>
      </w:r>
    </w:p>
    <w:p>
      <w:pPr>
        <w:pStyle w:val="Normal"/>
        <w:keepNext w:val="true"/>
        <w:tabs>
          <w:tab w:val="left" w:pos="540" w:leader="none"/>
          <w:tab w:val="right" w:pos="10800" w:leader="none"/>
        </w:tabs>
        <w:ind w:hanging="540" w:start="540" w:end="0"/>
        <w:jc w:val="both"/>
        <w:rPr>
          <w:b/>
        </w:rPr>
      </w:pPr>
      <w:r>
        <w:rPr>
          <w:b/>
        </w:rPr>
        <w:t>5.</w:t>
        <w:tab/>
        <w:t>Quinque Operating Company (Ditto) v. PG&amp;E, et al. (including Florida Gas Transmission Company), Cause No. 99CV30; Dist. Ct. Stevens Co., Kansas</w:t>
        <w:tab/>
        <w:t>NOT REVISED</w:t>
      </w:r>
    </w:p>
    <w:p>
      <w:pPr>
        <w:pStyle w:val="Normal"/>
        <w:keepNext w:val="true"/>
        <w:tabs>
          <w:tab w:val="left" w:pos="540" w:leader="none"/>
          <w:tab w:val="right" w:pos="10800" w:leader="none"/>
        </w:tabs>
        <w:ind w:hanging="540" w:start="540" w:end="0"/>
        <w:jc w:val="both"/>
        <w:rPr/>
      </w:pPr>
      <w:r>
        <w:rPr>
          <w:b/>
        </w:rPr>
        <w:tab/>
      </w:r>
      <w:r>
        <w:rPr/>
        <w:t xml:space="preserve">(filed May 20, 1999) </w:t>
      </w:r>
      <w:r>
        <w:rPr>
          <w:i/>
        </w:rPr>
        <w:t>(Litigation Unit) (Holtzman)</w:t>
      </w:r>
    </w:p>
    <w:p>
      <w:pPr>
        <w:pStyle w:val="Normal"/>
        <w:tabs>
          <w:tab w:val="left" w:pos="540" w:leader="none"/>
          <w:tab w:val="right" w:pos="10800" w:leader="none"/>
        </w:tabs>
        <w:suppressAutoHyphens w:val="true"/>
        <w:ind w:hanging="540" w:start="540" w:end="0"/>
        <w:jc w:val="both"/>
        <w:rPr/>
      </w:pPr>
      <w:r>
        <w:rPr>
          <w:rFonts w:eastAsia="Symbol" w:cs="Symbol" w:ascii="Symbol" w:hAnsi="Symbol"/>
          <w:b/>
          <w:color w:val="000000"/>
        </w:rPr>
        <w:sym w:font="Symbol" w:char="f0b7"/>
      </w:r>
      <w:r>
        <w:rPr>
          <w:b/>
          <w:color w:val="000000"/>
        </w:rPr>
        <w:tab/>
      </w:r>
      <w:r>
        <w:rPr/>
        <w:t>CAUSE OF ACTION:  Class action, mis-measurement (both volume and heating content) (Grynberg claims, but on non-federal and non-Indian lands).</w:t>
      </w:r>
    </w:p>
    <w:p>
      <w:pPr>
        <w:pStyle w:val="Normal"/>
        <w:keepNext w:val="true"/>
        <w:numPr>
          <w:ilvl w:val="0"/>
          <w:numId w:val="0"/>
        </w:numPr>
        <w:tabs>
          <w:tab w:val="clear" w:pos="540"/>
          <w:tab w:val="right" w:pos="10800" w:leader="none"/>
        </w:tabs>
        <w:suppressAutoHyphens w:val="true"/>
        <w:ind w:hanging="540" w:start="540" w:end="0"/>
        <w:jc w:val="both"/>
        <w:rPr>
          <w:color w:val="000000"/>
          <w:sz w:val="24"/>
        </w:rPr>
      </w:pPr>
      <w:r>
        <w:rPr>
          <w:rFonts w:eastAsia="Symbol" w:cs="Symbol" w:ascii="Symbol" w:hAnsi="Symbol"/>
          <w:color w:val="000000"/>
        </w:rPr>
        <w:sym w:font="Symbol" w:char="f0b7"/>
      </w:r>
      <w:r>
        <w:rPr>
          <w:color w:val="000000"/>
        </w:rPr>
        <w:tab/>
        <w:t xml:space="preserve">STATUS:  </w:t>
      </w:r>
      <w:r>
        <w:rPr>
          <w:color w:val="000000"/>
          <w:sz w:val="24"/>
        </w:rPr>
        <w:t>On September 23, Ditto filed first amended petition and a request for service of summons on all defendants. On September 24, NNG filed a Notice of Removal prior to service to avoid having to obtain the agreement of the other defendants.  Doug Crotty was hired on September 23 as local counsel.</w:t>
      </w:r>
      <w:r>
        <w:rPr>
          <w:color w:val="000000"/>
        </w:rPr>
        <w:t xml:space="preserve">  We were served on September 27 with first amended petition and voluminous discovery requests.  On October 4, NNG filed a motion to stay proceedings until 30 days after MDL panel rules in the Grynberg II case (above).  On October13, Plaintiffs filed a Motion to Remand case to state court.  On October 22, we filed the consents to the removal of all defendants who were served on or before September 24 and a motion for 60 day extension of time to answer or otherwise plead.  NNG filed an answer on October 22.  Our response to the Motion to Remand was filed on November 1.  On November 30, Court stayed all proceedings pending ruling on Motion to Remand.</w:t>
      </w:r>
    </w:p>
    <w:p>
      <w:pPr>
        <w:pStyle w:val="Normal"/>
        <w:tabs>
          <w:tab w:val="left" w:pos="540" w:leader="none"/>
          <w:tab w:val="right" w:pos="10800" w:leader="none"/>
        </w:tabs>
        <w:suppressAutoHyphens w:val="true"/>
        <w:ind w:hanging="540" w:start="540" w:end="0"/>
        <w:jc w:val="both"/>
        <w:rPr>
          <w:color w:val="000000"/>
          <w:sz w:val="24"/>
        </w:rPr>
      </w:pPr>
      <w:r>
        <w:rPr>
          <w:color w:val="000000"/>
          <w:sz w:val="24"/>
        </w:rPr>
      </w:r>
    </w:p>
    <w:p>
      <w:pPr>
        <w:pStyle w:val="Normal"/>
        <w:numPr>
          <w:ilvl w:val="0"/>
          <w:numId w:val="0"/>
        </w:numPr>
        <w:tabs>
          <w:tab w:val="left" w:pos="540" w:leader="none"/>
          <w:tab w:val="right" w:pos="10800" w:leader="none"/>
        </w:tabs>
        <w:suppressAutoHyphens w:val="true"/>
        <w:ind w:hanging="540" w:start="540" w:end="0"/>
        <w:jc w:val="both"/>
        <w:rPr/>
      </w:pPr>
      <w:r>
        <w:rPr>
          <w:b/>
        </w:rPr>
        <w:t>6.</w:t>
        <w:tab/>
        <w:t>Union Planters PMAC, Inc., v. Maclean, Trustee and others (including Florida Gas Transmission Company), Case Number 99-279-CA, First Judicial Circuit Court, Okaloosa County, Florida</w:t>
      </w:r>
      <w:r>
        <w:rPr/>
        <w:t xml:space="preserve"> (Served March 3, 1999) </w:t>
      </w:r>
      <w:r>
        <w:rPr>
          <w:i/>
        </w:rPr>
        <w:t>(Bricklemyer, Smolker &amp; Bolves</w:t>
      </w:r>
      <w:r>
        <w:rPr/>
        <w:t xml:space="preserve">) </w:t>
      </w:r>
      <w:r>
        <w:rPr>
          <w:color w:val="000000"/>
        </w:rPr>
        <w:t xml:space="preserve">(Crowley) </w:t>
      </w:r>
      <w:r>
        <w:rPr>
          <w:b/>
          <w:color w:val="000000"/>
        </w:rPr>
        <w:tab/>
        <w:t>NOT REVISED</w:t>
      </w:r>
    </w:p>
    <w:p>
      <w:pPr>
        <w:pStyle w:val="Normal"/>
        <w:numPr>
          <w:ilvl w:val="0"/>
          <w:numId w:val="18"/>
        </w:numPr>
        <w:tabs>
          <w:tab w:val="left" w:pos="540" w:leader="none"/>
          <w:tab w:val="right" w:pos="10800" w:leader="none"/>
        </w:tabs>
        <w:suppressAutoHyphens w:val="true"/>
        <w:ind w:hanging="540" w:start="540" w:end="0"/>
        <w:jc w:val="both"/>
        <w:rPr/>
      </w:pPr>
      <w:r>
        <w:rPr/>
        <w:t>CAUSE OF ACTION:  Foreclosure of mortgage on property where FGT holds a pipeline easement.</w:t>
      </w:r>
    </w:p>
    <w:p>
      <w:pPr>
        <w:pStyle w:val="Normal"/>
        <w:numPr>
          <w:ilvl w:val="0"/>
          <w:numId w:val="18"/>
        </w:numPr>
        <w:tabs>
          <w:tab w:val="left" w:pos="540" w:leader="none"/>
          <w:tab w:val="right" w:pos="10800" w:leader="none"/>
        </w:tabs>
        <w:suppressAutoHyphens w:val="true"/>
        <w:ind w:hanging="540" w:start="540" w:end="0"/>
        <w:jc w:val="both"/>
        <w:rPr/>
      </w:pPr>
      <w:r>
        <w:rPr/>
        <w:t>STATUS:  Answer filed March 23, 1999.</w:t>
      </w:r>
    </w:p>
    <w:p>
      <w:pPr>
        <w:pStyle w:val="Normal"/>
        <w:numPr>
          <w:ilvl w:val="0"/>
          <w:numId w:val="0"/>
        </w:numPr>
        <w:tabs>
          <w:tab w:val="clear" w:pos="540"/>
          <w:tab w:val="left" w:pos="720" w:leader="none"/>
          <w:tab w:val="center" w:pos="5400" w:leader="none"/>
          <w:tab w:val="right" w:pos="10800" w:leader="none"/>
        </w:tabs>
        <w:ind w:hanging="0" w:start="0"/>
        <w:jc w:val="both"/>
        <w:rPr>
          <w:color w:val="000000"/>
        </w:rPr>
      </w:pPr>
      <w:r>
        <w:rPr>
          <w:color w:val="000000"/>
        </w:rPr>
      </w:r>
    </w:p>
    <w:p>
      <w:pPr>
        <w:pStyle w:val="Normal"/>
        <w:tabs>
          <w:tab w:val="left" w:pos="540" w:leader="none"/>
          <w:tab w:val="center" w:pos="5400" w:leader="none"/>
          <w:tab w:val="right" w:pos="10800" w:leader="none"/>
        </w:tabs>
        <w:rPr/>
      </w:pPr>
      <w:r>
        <w:rPr>
          <w:b/>
        </w:rPr>
        <w:tab/>
        <w:tab/>
        <w:t xml:space="preserve">IV.  </w:t>
      </w:r>
      <w:r>
        <w:rPr>
          <w:b/>
          <w:u w:val="single"/>
        </w:rPr>
        <w:t>BLACK MARLIN PIPELINE COMPANY</w:t>
      </w:r>
      <w:r>
        <w:rPr>
          <w:b/>
        </w:rPr>
        <w:t xml:space="preserve"> </w:t>
      </w:r>
    </w:p>
    <w:p>
      <w:pPr>
        <w:pStyle w:val="Normal"/>
        <w:tabs>
          <w:tab w:val="left" w:pos="540" w:leader="none"/>
          <w:tab w:val="center" w:pos="5400" w:leader="none"/>
          <w:tab w:val="right" w:pos="10800" w:leader="none"/>
        </w:tabs>
        <w:rPr>
          <w:b/>
        </w:rPr>
      </w:pPr>
      <w:r>
        <w:rPr>
          <w:b/>
        </w:rPr>
      </w:r>
    </w:p>
    <w:p>
      <w:pPr>
        <w:pStyle w:val="Normal"/>
        <w:tabs>
          <w:tab w:val="center" w:pos="-1350" w:leader="none"/>
          <w:tab w:val="left" w:pos="540" w:leader="none"/>
        </w:tabs>
        <w:ind w:hanging="540" w:start="540" w:end="0"/>
        <w:jc w:val="both"/>
        <w:rPr/>
      </w:pPr>
      <w:r>
        <w:rPr>
          <w:b/>
        </w:rPr>
        <w:tab/>
        <w:t xml:space="preserve">Note:  </w:t>
      </w:r>
      <w:r>
        <w:rPr/>
        <w:t>The stock of Black Marlin was sold to Blue Dolphin Energy Company on March 1, 1999; however, we have an agreement to continue to provide certain services for Black Marlin, including regulatory work, for three years, or until the pipeline is decertified.</w:t>
      </w:r>
    </w:p>
    <w:p>
      <w:pPr>
        <w:pStyle w:val="Normal"/>
        <w:numPr>
          <w:ilvl w:val="0"/>
          <w:numId w:val="0"/>
        </w:numPr>
        <w:tabs>
          <w:tab w:val="left" w:pos="540" w:leader="none"/>
          <w:tab w:val="right" w:pos="10800" w:leader="none"/>
        </w:tabs>
        <w:ind w:hanging="540" w:start="540" w:end="0"/>
        <w:jc w:val="both"/>
        <w:rPr/>
      </w:pPr>
      <w:r>
        <w:rPr/>
      </w:r>
    </w:p>
    <w:p>
      <w:pPr>
        <w:pStyle w:val="Heading7"/>
        <w:numPr>
          <w:ilvl w:val="0"/>
          <w:numId w:val="0"/>
        </w:numPr>
        <w:ind w:hanging="540" w:start="540" w:end="0"/>
        <w:rPr/>
      </w:pPr>
      <w:r>
        <w:rPr/>
        <w:t>LITIGATION</w:t>
      </w:r>
    </w:p>
    <w:p>
      <w:pPr>
        <w:pStyle w:val="Normal"/>
        <w:numPr>
          <w:ilvl w:val="0"/>
          <w:numId w:val="0"/>
        </w:numPr>
        <w:tabs>
          <w:tab w:val="left" w:pos="540" w:leader="none"/>
          <w:tab w:val="right" w:pos="10800" w:leader="none"/>
        </w:tabs>
        <w:ind w:hanging="540" w:start="540" w:end="0"/>
        <w:jc w:val="both"/>
        <w:rPr/>
      </w:pPr>
      <w:r>
        <w:rPr/>
      </w:r>
    </w:p>
    <w:p>
      <w:pPr>
        <w:pStyle w:val="BodyText2"/>
        <w:widowControl/>
        <w:tabs>
          <w:tab w:val="clear" w:pos="720"/>
          <w:tab w:val="left" w:pos="540" w:leader="none"/>
          <w:tab w:val="right" w:pos="10800" w:leader="none"/>
        </w:tabs>
        <w:ind w:hanging="540" w:start="540" w:end="0"/>
        <w:rPr/>
      </w:pPr>
      <w:r>
        <w:rPr>
          <w:b/>
        </w:rPr>
        <w:t>1.</w:t>
        <w:tab/>
        <w:t>Grynberg v. Enron, et al. ("Grynberg II") (including Black Marlin) (97D-1421 Dist. Colo.) (</w:t>
      </w:r>
      <w:r>
        <w:rPr>
          <w:i/>
        </w:rPr>
        <w:t>Holtzman)</w:t>
        <w:tab/>
      </w:r>
      <w:r>
        <w:rPr>
          <w:b/>
        </w:rPr>
        <w:t>NOT REVISED</w:t>
      </w:r>
    </w:p>
    <w:p>
      <w:pPr>
        <w:pStyle w:val="BodyText2"/>
        <w:widowControl/>
        <w:numPr>
          <w:ilvl w:val="0"/>
          <w:numId w:val="11"/>
        </w:numPr>
        <w:tabs>
          <w:tab w:val="clear" w:pos="720"/>
          <w:tab w:val="left" w:pos="900" w:leader="none"/>
          <w:tab w:val="right" w:pos="10800" w:leader="none"/>
        </w:tabs>
        <w:ind w:hanging="540" w:start="540" w:end="0"/>
        <w:rPr/>
      </w:pPr>
      <w:r>
        <w:rPr>
          <w:color w:val="000000"/>
          <w:lang w:eastAsia="en-US"/>
        </w:rPr>
        <w:t>CAUSE OF ACTION:  Grynberg has filed under seal several new actions against</w:t>
      </w:r>
      <w:r>
        <w:rPr/>
        <w:t xml:space="preserve"> 150 companies including Black Marlin in the District of Colorado.  </w:t>
      </w:r>
    </w:p>
    <w:p>
      <w:pPr>
        <w:pStyle w:val="BodyText2"/>
        <w:widowControl/>
        <w:numPr>
          <w:ilvl w:val="0"/>
          <w:numId w:val="11"/>
        </w:numPr>
        <w:tabs>
          <w:tab w:val="clear" w:pos="720"/>
          <w:tab w:val="left" w:pos="900" w:leader="none"/>
          <w:tab w:val="right" w:pos="10800" w:leader="none"/>
        </w:tabs>
        <w:ind w:hanging="540" w:start="540" w:end="0"/>
        <w:rPr>
          <w:i/>
          <w:i/>
        </w:rPr>
      </w:pPr>
      <w:r>
        <w:rPr/>
        <w:t xml:space="preserve">STATUS:  </w:t>
      </w:r>
      <w:r>
        <w:rPr>
          <w:i/>
        </w:rPr>
        <w:t>See Grynberg v. Enron under FGT report .</w:t>
      </w:r>
    </w:p>
    <w:p>
      <w:pPr>
        <w:pStyle w:val="BodyText2"/>
        <w:widowControl/>
        <w:tabs>
          <w:tab w:val="clear" w:pos="720"/>
          <w:tab w:val="left" w:pos="900" w:leader="none"/>
          <w:tab w:val="right" w:pos="10800" w:leader="none"/>
        </w:tabs>
        <w:rPr>
          <w:i/>
          <w:i/>
        </w:rPr>
      </w:pPr>
      <w:r>
        <w:rPr>
          <w:i/>
        </w:rPr>
      </w:r>
    </w:p>
    <w:p>
      <w:pPr>
        <w:pStyle w:val="BodyText2"/>
        <w:widowControl/>
        <w:tabs>
          <w:tab w:val="clear" w:pos="720"/>
          <w:tab w:val="left" w:pos="540" w:leader="none"/>
          <w:tab w:val="left" w:pos="1440" w:leader="none"/>
          <w:tab w:val="right" w:pos="10800" w:leader="none"/>
        </w:tabs>
        <w:ind w:hanging="540" w:start="540" w:end="0"/>
        <w:rPr>
          <w:b/>
          <w:sz w:val="24"/>
        </w:rPr>
      </w:pPr>
      <w:r>
        <w:rPr>
          <w:b/>
          <w:sz w:val="24"/>
        </w:rPr>
        <w:t>2.</w:t>
        <w:tab/>
        <w:t xml:space="preserve">Quinque Operating Company (Ditto) v. Gas Pipelines, et al. (including Black Marlin Pipeline Company), Cause No. 99CV30; Dist. Ct. Stevens Co., Kansas </w:t>
      </w:r>
      <w:r>
        <w:rPr>
          <w:sz w:val="24"/>
        </w:rPr>
        <w:t>(filed May 20, 1999)</w:t>
      </w:r>
      <w:r>
        <w:rPr>
          <w:b/>
          <w:sz w:val="24"/>
        </w:rPr>
        <w:t xml:space="preserve"> </w:t>
      </w:r>
      <w:r>
        <w:rPr>
          <w:i/>
          <w:sz w:val="24"/>
        </w:rPr>
        <w:t>(Gibbs &amp; Bruns, et al.) (Litigation Unit)</w:t>
      </w:r>
      <w:r>
        <w:rPr>
          <w:sz w:val="24"/>
        </w:rPr>
        <w:t xml:space="preserve"> </w:t>
      </w:r>
      <w:r>
        <w:rPr>
          <w:i/>
          <w:sz w:val="24"/>
        </w:rPr>
        <w:t>(Holtzman)</w:t>
        <w:tab/>
      </w:r>
      <w:r>
        <w:rPr>
          <w:b/>
        </w:rPr>
        <w:t xml:space="preserve"> NOT REVISED</w:t>
      </w:r>
    </w:p>
    <w:p>
      <w:pPr>
        <w:pStyle w:val="Normal"/>
        <w:ind w:hanging="540" w:start="540" w:end="0"/>
        <w:rPr/>
      </w:pPr>
      <w:r>
        <w:rPr>
          <w:rFonts w:eastAsia="Symbol" w:cs="Symbol" w:ascii="Symbol" w:hAnsi="Symbol"/>
          <w:b/>
          <w:color w:val="000000"/>
        </w:rPr>
        <w:sym w:font="Symbol" w:char="f0b7"/>
      </w:r>
      <w:r>
        <w:rPr>
          <w:b/>
          <w:color w:val="000000"/>
        </w:rPr>
        <w:tab/>
      </w:r>
      <w:r>
        <w:rPr>
          <w:color w:val="000000"/>
        </w:rPr>
        <w:t xml:space="preserve">CAUSE OF ACTION:  </w:t>
      </w:r>
      <w:r>
        <w:rPr/>
        <w:t>Class action, mis-measurement (both volume and heating content) (Grynberg claims, but on non-federal and non-Indian lands).</w:t>
      </w:r>
    </w:p>
    <w:p>
      <w:pPr>
        <w:pStyle w:val="Normal"/>
        <w:rPr>
          <w:i/>
          <w:i/>
          <w:u w:val="single"/>
        </w:rPr>
      </w:pPr>
      <w:r>
        <w:rPr>
          <w:rFonts w:eastAsia="Symbol" w:cs="Symbol" w:ascii="Symbol" w:hAnsi="Symbol"/>
          <w:color w:val="000000"/>
        </w:rPr>
        <w:sym w:font="Symbol" w:char="f0b7"/>
      </w:r>
      <w:r>
        <w:rPr>
          <w:color w:val="000000"/>
        </w:rPr>
        <w:tab/>
        <w:t xml:space="preserve">STATUS:  </w:t>
      </w:r>
      <w:r>
        <w:rPr>
          <w:i/>
          <w:color w:val="000000"/>
        </w:rPr>
        <w:t>See Quinque v. Gas Pipelines, et al. under FGT report.</w:t>
      </w:r>
    </w:p>
    <w:p>
      <w:pPr>
        <w:pStyle w:val="Normal"/>
        <w:rPr>
          <w:i/>
          <w:i/>
          <w:color w:val="000000"/>
          <w:u w:val="single"/>
        </w:rPr>
      </w:pPr>
      <w:r>
        <w:rPr>
          <w:i/>
          <w:color w:val="000000"/>
          <w:u w:val="single"/>
        </w:rPr>
      </w:r>
    </w:p>
    <w:p>
      <w:pPr>
        <w:pStyle w:val="Footer"/>
        <w:tabs>
          <w:tab w:val="clear" w:pos="4320"/>
          <w:tab w:val="clear" w:pos="8640"/>
          <w:tab w:val="left" w:pos="540" w:leader="none"/>
          <w:tab w:val="right" w:pos="10800" w:leader="none"/>
        </w:tabs>
        <w:rPr>
          <w:color w:val="000000"/>
        </w:rPr>
      </w:pPr>
      <w:r>
        <w:rPr>
          <w:color w:val="000000"/>
        </w:rPr>
      </w:r>
    </w:p>
    <w:p>
      <w:pPr>
        <w:pStyle w:val="Normal"/>
        <w:keepNext w:val="true"/>
        <w:tabs>
          <w:tab w:val="left" w:pos="540" w:leader="none"/>
          <w:tab w:val="center" w:pos="5400" w:leader="none"/>
          <w:tab w:val="right" w:pos="10800" w:leader="none"/>
        </w:tabs>
        <w:rPr/>
      </w:pPr>
      <w:r>
        <w:rPr>
          <w:b/>
        </w:rPr>
        <w:tab/>
        <w:tab/>
        <w:t xml:space="preserve">V.  </w:t>
      </w:r>
      <w:r>
        <w:rPr>
          <w:b/>
          <w:u w:val="single"/>
        </w:rPr>
        <w:t>TRANSWESTERN PIPELINE COMPANY</w:t>
      </w:r>
    </w:p>
    <w:p>
      <w:pPr>
        <w:pStyle w:val="Normal"/>
        <w:keepNext w:val="true"/>
        <w:tabs>
          <w:tab w:val="left" w:pos="540" w:leader="none"/>
          <w:tab w:val="right" w:pos="10800" w:leader="none"/>
        </w:tabs>
        <w:rPr>
          <w:b/>
          <w:u w:val="single"/>
        </w:rPr>
      </w:pPr>
      <w:r>
        <w:rPr>
          <w:b/>
          <w:u w:val="single"/>
        </w:rPr>
      </w:r>
    </w:p>
    <w:p>
      <w:pPr>
        <w:pStyle w:val="Heading5"/>
        <w:ind w:hanging="0" w:start="0"/>
        <w:rPr/>
      </w:pPr>
      <w:r>
        <w:rPr/>
        <w:t>REGULATORY</w:t>
      </w:r>
    </w:p>
    <w:p>
      <w:pPr>
        <w:pStyle w:val="Normal"/>
        <w:keepNext w:val="true"/>
        <w:tabs>
          <w:tab w:val="left" w:pos="540" w:leader="none"/>
          <w:tab w:val="right" w:pos="10800" w:leader="none"/>
        </w:tabs>
        <w:rPr>
          <w:b/>
        </w:rPr>
      </w:pPr>
      <w:r>
        <w:rPr>
          <w:b/>
        </w:rPr>
      </w:r>
    </w:p>
    <w:p>
      <w:pPr>
        <w:pStyle w:val="Normal"/>
        <w:keepNext w:val="true"/>
        <w:tabs>
          <w:tab w:val="left" w:pos="540" w:leader="none"/>
          <w:tab w:val="right" w:pos="10800" w:leader="none"/>
        </w:tabs>
        <w:ind w:hanging="547" w:start="547" w:end="0"/>
        <w:jc w:val="both"/>
        <w:rPr/>
      </w:pPr>
      <w:r>
        <w:rPr>
          <w:b/>
        </w:rPr>
        <w:t>1.</w:t>
        <w:tab/>
        <w:t xml:space="preserve">Transwestern Pipeline Company, Docket No. CP98-233-000 </w:t>
      </w:r>
      <w:r>
        <w:rPr>
          <w:i/>
        </w:rPr>
        <w:t>(Huber)</w:t>
      </w:r>
      <w:r>
        <w:rPr>
          <w:b/>
        </w:rPr>
        <w:tab/>
        <w:t>NOT REVISED</w:t>
      </w:r>
    </w:p>
    <w:p>
      <w:pPr>
        <w:pStyle w:val="Normal"/>
        <w:tabs>
          <w:tab w:val="left" w:pos="540" w:leader="none"/>
          <w:tab w:val="right" w:pos="10800" w:leader="none"/>
        </w:tabs>
        <w:ind w:hanging="540" w:start="540" w:end="0"/>
        <w:jc w:val="both"/>
        <w:rPr/>
      </w:pPr>
      <w:r>
        <w:rPr/>
        <w:tab/>
        <w:t>On February 13, 1998, Transwestern filed a 7(b) application to spin off certain facilities in Oklahoma and Texas to KN Energy.  Order was issued December 22, 1998 approving the abandonment.  The closing is contingent upon the sale of Northern's Skellytown facilities to KN’s gathering affiliate in Docket No. CP98-234 which has not yet been approved by FERC.</w:t>
      </w:r>
    </w:p>
    <w:p>
      <w:pPr>
        <w:pStyle w:val="Normal"/>
        <w:tabs>
          <w:tab w:val="left" w:pos="540" w:leader="none"/>
          <w:tab w:val="right" w:pos="10800" w:leader="none"/>
        </w:tabs>
        <w:ind w:hanging="540" w:start="540" w:end="0"/>
        <w:jc w:val="both"/>
        <w:rPr/>
      </w:pPr>
      <w:r>
        <w:rPr/>
      </w:r>
    </w:p>
    <w:p>
      <w:pPr>
        <w:pStyle w:val="Normal"/>
        <w:tabs>
          <w:tab w:val="left" w:pos="540" w:leader="none"/>
          <w:tab w:val="right" w:pos="10800" w:leader="none"/>
        </w:tabs>
        <w:ind w:hanging="540" w:start="540" w:end="0"/>
        <w:jc w:val="both"/>
        <w:rPr/>
      </w:pPr>
      <w:r>
        <w:rPr>
          <w:b/>
        </w:rPr>
        <w:t>2.</w:t>
        <w:tab/>
        <w:t>Transwestern Pipeline Company, Docket No. CP98-795-000</w:t>
      </w:r>
      <w:r>
        <w:rPr/>
        <w:t xml:space="preserve"> (Huber)</w:t>
        <w:tab/>
      </w:r>
      <w:r>
        <w:rPr>
          <w:b/>
        </w:rPr>
        <w:t>NOT REVISED</w:t>
      </w:r>
    </w:p>
    <w:p>
      <w:pPr>
        <w:pStyle w:val="BodyText2"/>
        <w:widowControl/>
        <w:tabs>
          <w:tab w:val="clear" w:pos="720"/>
          <w:tab w:val="right" w:pos="10800" w:leader="none"/>
        </w:tabs>
        <w:ind w:hanging="720" w:start="540" w:end="0"/>
        <w:rPr/>
      </w:pPr>
      <w:r>
        <w:rPr/>
        <w:tab/>
        <w:t>On September 1, 1998, Transwestern filed a Section 7(b) application for permission and approval to abandon by sale to Union Pacific Highlands Gathering and Processing Company (UPH) (now Duke) approximately 58 miles of pipeline and the Crawford Compressor Station site.  The sale price is $3.1 million.  Transwestern also filed a Section 7(c) application requesting permission to abandon and relocate two 1100 horsepower compressors at the Crawford Compressor Station to the tailgate of a proposed new processing plant to be built by UPH.  On April 1, 1999 the FERC issued an order approving Transwestern’s requests.  Effective July 1, 1999, the parties closed on all assets upstream of the current compressor site for $2,524,053, which includes all the upside Transwestern anticipated from the sale (</w:t>
      </w:r>
      <w:r>
        <w:rPr>
          <w:i/>
        </w:rPr>
        <w:t>i.e.</w:t>
      </w:r>
      <w:r>
        <w:rPr/>
        <w:t>, $M1.7).  Duke will now be able to begin operations of the facilities as their property, converting them to gathering.  Transwestern will continue to operate the compressors to allow the gas to continue to flow.  The second closing is scheduled for October 1, and will include the remaining assets (</w:t>
      </w:r>
      <w:r>
        <w:rPr>
          <w:i/>
        </w:rPr>
        <w:t>i.e.</w:t>
      </w:r>
      <w:r>
        <w:rPr/>
        <w:t>, the compressor site and five miles of 16”), which have a book value of $265,947.  At this time, Transwestern will discontinue operations and move the compressors to a new site.</w:t>
      </w:r>
    </w:p>
    <w:p>
      <w:pPr>
        <w:pStyle w:val="Normal"/>
        <w:tabs>
          <w:tab w:val="left" w:pos="540" w:leader="none"/>
          <w:tab w:val="right" w:pos="10800" w:leader="none"/>
        </w:tabs>
        <w:ind w:hanging="540" w:start="540" w:end="0"/>
        <w:jc w:val="both"/>
        <w:rPr/>
      </w:pPr>
      <w:r>
        <w:rPr/>
      </w:r>
    </w:p>
    <w:p>
      <w:pPr>
        <w:pStyle w:val="BodyText2"/>
        <w:widowControl/>
        <w:tabs>
          <w:tab w:val="clear" w:pos="720"/>
          <w:tab w:val="right" w:pos="10800" w:leader="none"/>
        </w:tabs>
        <w:ind w:hanging="540" w:start="540" w:end="0"/>
        <w:rPr>
          <w:i/>
          <w:i/>
        </w:rPr>
      </w:pPr>
      <w:r>
        <w:rPr>
          <w:b/>
        </w:rPr>
        <w:t>3.</w:t>
        <w:tab/>
        <w:t>Transwestern Pipeline Company, Docket No. CP99-522-000</w:t>
      </w:r>
      <w:r>
        <w:rPr/>
        <w:t xml:space="preserve">  </w:t>
      </w:r>
      <w:r>
        <w:rPr>
          <w:i/>
        </w:rPr>
        <w:t>(Scott)</w:t>
        <w:tab/>
      </w:r>
      <w:r>
        <w:rPr>
          <w:b/>
        </w:rPr>
        <w:t>NOT REVISED</w:t>
      </w:r>
    </w:p>
    <w:p>
      <w:pPr>
        <w:pStyle w:val="Normal"/>
        <w:tabs>
          <w:tab w:val="left" w:pos="540" w:leader="none"/>
          <w:tab w:val="right" w:pos="10800" w:leader="none"/>
        </w:tabs>
        <w:ind w:hanging="540" w:start="540" w:end="0"/>
        <w:jc w:val="both"/>
        <w:rPr/>
      </w:pPr>
      <w:r>
        <w:rPr/>
        <w:tab/>
        <w:t>On May 13, 1999, Transwestern filed a Section 7 application for authorization to construct and operate a new compressor station (Gallup) to be located off the San Juan lateral near Thoreau, New Mexico, and to install additional cooling equipment at the Bloomfield compressor station located in La Plata County, Colorado and at the La Plata “A” compressor station located in San Juan County, New Mexico.  SoCalGas protested the expansion, challenging market need for the expansion and attempting to raise operational and pricing issues.  Transwestern filed an answer to the protests on June 28, 1999. Transwestern has answered four sets of FERC data requests.</w:t>
      </w:r>
    </w:p>
    <w:p>
      <w:pPr>
        <w:pStyle w:val="Normal"/>
        <w:tabs>
          <w:tab w:val="left" w:pos="540" w:leader="none"/>
          <w:tab w:val="right" w:pos="10800" w:leader="none"/>
        </w:tabs>
        <w:ind w:hanging="540" w:start="540" w:end="0"/>
        <w:jc w:val="both"/>
        <w:rPr>
          <w:b/>
        </w:rPr>
      </w:pPr>
      <w:r>
        <w:rPr>
          <w:b/>
        </w:rPr>
      </w:r>
    </w:p>
    <w:p>
      <w:pPr>
        <w:pStyle w:val="Normal"/>
        <w:tabs>
          <w:tab w:val="left" w:pos="540" w:leader="none"/>
          <w:tab w:val="right" w:pos="10800" w:leader="none"/>
        </w:tabs>
        <w:ind w:hanging="540" w:start="540" w:end="0"/>
        <w:jc w:val="both"/>
        <w:rPr>
          <w:b/>
        </w:rPr>
      </w:pPr>
      <w:r>
        <w:rPr>
          <w:b/>
        </w:rPr>
      </w:r>
    </w:p>
    <w:p>
      <w:pPr>
        <w:pStyle w:val="Normal"/>
        <w:numPr>
          <w:ilvl w:val="0"/>
          <w:numId w:val="19"/>
        </w:numPr>
        <w:tabs>
          <w:tab w:val="left" w:pos="540" w:leader="none"/>
          <w:tab w:val="right" w:pos="10800" w:leader="none"/>
        </w:tabs>
        <w:jc w:val="both"/>
        <w:rPr>
          <w:b/>
        </w:rPr>
      </w:pPr>
      <w:r>
        <w:rPr>
          <w:b/>
        </w:rPr>
        <w:t>Transwestern Pipeline Company, Docket No. RP99-335-000</w:t>
      </w:r>
      <w:r>
        <w:rPr/>
        <w:t xml:space="preserve"> </w:t>
      </w:r>
      <w:r>
        <w:rPr>
          <w:i/>
        </w:rPr>
        <w:t>(Pavlou)</w:t>
        <w:tab/>
      </w:r>
      <w:r>
        <w:rPr>
          <w:b/>
        </w:rPr>
        <w:t>NOT REVISED</w:t>
      </w:r>
    </w:p>
    <w:p>
      <w:pPr>
        <w:pStyle w:val="Normal"/>
        <w:tabs>
          <w:tab w:val="left" w:pos="540" w:leader="none"/>
          <w:tab w:val="right" w:pos="10800" w:leader="none"/>
        </w:tabs>
        <w:ind w:start="540" w:end="0"/>
        <w:jc w:val="both"/>
        <w:rPr/>
      </w:pPr>
      <w:r>
        <w:rPr/>
        <w:t>On June 16, 1999, Transwestern filed tariff sheets that would allow Releasing Shippers and Transwestern to mutually agree to the level of demand credits that will be applied to the Releasing Shipper’s account with TW for each capacity release transaction.  On July 15, 1999, the Commission rejected TW’s proposal.  TW is seeking rehearing of the July 15 order.</w:t>
      </w:r>
    </w:p>
    <w:p>
      <w:pPr>
        <w:pStyle w:val="Normal"/>
        <w:tabs>
          <w:tab w:val="left" w:pos="540" w:leader="none"/>
          <w:tab w:val="right" w:pos="10800" w:leader="none"/>
        </w:tabs>
        <w:ind w:hanging="540" w:start="540" w:end="0"/>
        <w:jc w:val="both"/>
        <w:rPr>
          <w:b/>
        </w:rPr>
      </w:pPr>
      <w:r>
        <w:rPr>
          <w:b/>
        </w:rPr>
      </w:r>
    </w:p>
    <w:p>
      <w:pPr>
        <w:pStyle w:val="Normal"/>
        <w:tabs>
          <w:tab w:val="left" w:pos="540" w:leader="none"/>
          <w:tab w:val="right" w:pos="10800" w:leader="none"/>
        </w:tabs>
        <w:ind w:hanging="540" w:start="540" w:end="0"/>
        <w:jc w:val="both"/>
        <w:rPr>
          <w:b/>
        </w:rPr>
      </w:pPr>
      <w:r>
        <w:rPr>
          <w:b/>
        </w:rPr>
      </w:r>
    </w:p>
    <w:p>
      <w:pPr>
        <w:pStyle w:val="Heading7"/>
        <w:rPr/>
      </w:pPr>
      <w:r>
        <w:rPr/>
        <w:t>LITIGATION</w:t>
      </w:r>
    </w:p>
    <w:p>
      <w:pPr>
        <w:pStyle w:val="Normal"/>
        <w:tabs>
          <w:tab w:val="left" w:pos="540" w:leader="none"/>
          <w:tab w:val="right" w:pos="10800" w:leader="none"/>
        </w:tabs>
        <w:ind w:hanging="540" w:start="540" w:end="0"/>
        <w:jc w:val="both"/>
        <w:rPr>
          <w:b/>
        </w:rPr>
      </w:pPr>
      <w:r>
        <w:rPr>
          <w:b/>
        </w:rPr>
      </w:r>
    </w:p>
    <w:p>
      <w:pPr>
        <w:pStyle w:val="BodyText2"/>
        <w:widowControl/>
        <w:numPr>
          <w:ilvl w:val="0"/>
          <w:numId w:val="0"/>
        </w:numPr>
        <w:tabs>
          <w:tab w:val="clear" w:pos="720"/>
          <w:tab w:val="left" w:pos="540" w:leader="none"/>
          <w:tab w:val="right" w:pos="10800" w:leader="none"/>
        </w:tabs>
        <w:ind w:hanging="540" w:start="540" w:end="0"/>
        <w:rPr/>
      </w:pPr>
      <w:r>
        <w:rPr>
          <w:b/>
        </w:rPr>
        <w:t>1.</w:t>
        <w:tab/>
        <w:t>Grynberg v. Enron, et al. ("Grynberg II") (including Transwestern) (97D-1421 Dist. Colo.) (</w:t>
      </w:r>
      <w:r>
        <w:rPr>
          <w:i/>
        </w:rPr>
        <w:t>Holtzman)</w:t>
        <w:tab/>
      </w:r>
      <w:r>
        <w:rPr>
          <w:b/>
        </w:rPr>
        <w:t>NOT REVISED</w:t>
      </w:r>
    </w:p>
    <w:p>
      <w:pPr>
        <w:pStyle w:val="BodyText2"/>
        <w:widowControl/>
        <w:numPr>
          <w:ilvl w:val="0"/>
          <w:numId w:val="11"/>
        </w:numPr>
        <w:tabs>
          <w:tab w:val="clear" w:pos="720"/>
          <w:tab w:val="left" w:pos="900" w:leader="none"/>
          <w:tab w:val="right" w:pos="10800" w:leader="none"/>
        </w:tabs>
        <w:ind w:hanging="540" w:start="540" w:end="0"/>
        <w:rPr/>
      </w:pPr>
      <w:r>
        <w:rPr>
          <w:color w:val="000000"/>
          <w:lang w:eastAsia="en-US"/>
        </w:rPr>
        <w:t>CAUSE OF ACTION:  Grynberg has filed under seal several new actions against</w:t>
      </w:r>
      <w:r>
        <w:rPr/>
        <w:t xml:space="preserve"> 150 companies including Transwestern in the District of Colorado.  </w:t>
      </w:r>
    </w:p>
    <w:p>
      <w:pPr>
        <w:pStyle w:val="Normal"/>
        <w:keepNext w:val="true"/>
        <w:numPr>
          <w:ilvl w:val="0"/>
          <w:numId w:val="7"/>
        </w:numPr>
        <w:tabs>
          <w:tab w:val="left" w:pos="540" w:leader="none"/>
          <w:tab w:val="right" w:pos="10800" w:leader="none"/>
        </w:tabs>
        <w:ind w:hanging="540" w:start="540" w:end="0"/>
        <w:jc w:val="both"/>
        <w:rPr>
          <w:b/>
        </w:rPr>
      </w:pPr>
      <w:r>
        <w:rPr/>
        <w:t xml:space="preserve">STATUS:  </w:t>
      </w:r>
      <w:r>
        <w:rPr>
          <w:i/>
        </w:rPr>
        <w:t>See Grynberg v. Enron under FGT report .</w:t>
      </w:r>
    </w:p>
    <w:p>
      <w:pPr>
        <w:pStyle w:val="Normal"/>
        <w:keepNext w:val="true"/>
        <w:tabs>
          <w:tab w:val="left" w:pos="540" w:leader="none"/>
          <w:tab w:val="right" w:pos="10800" w:leader="none"/>
        </w:tabs>
        <w:ind w:hanging="540" w:start="540" w:end="0"/>
        <w:jc w:val="both"/>
        <w:rPr>
          <w:b/>
        </w:rPr>
      </w:pPr>
      <w:r>
        <w:rPr>
          <w:b/>
        </w:rPr>
      </w:r>
    </w:p>
    <w:p>
      <w:pPr>
        <w:pStyle w:val="Normal"/>
        <w:keepNext w:val="true"/>
        <w:tabs>
          <w:tab w:val="left" w:pos="540" w:leader="none"/>
          <w:tab w:val="right" w:pos="10800" w:leader="none"/>
        </w:tabs>
        <w:ind w:hanging="547" w:start="547" w:end="0"/>
        <w:jc w:val="both"/>
        <w:rPr/>
      </w:pPr>
      <w:r>
        <w:rPr>
          <w:b/>
        </w:rPr>
        <w:t>2.</w:t>
        <w:tab/>
        <w:t>Royalty Audit Services Co. v. Texaco, Inc. (Hemphill County, TX)</w:t>
      </w:r>
      <w:r>
        <w:rPr/>
        <w:t xml:space="preserve"> (Filed March 18, 1997) (Served—not served on any Enron entity) </w:t>
      </w:r>
      <w:r>
        <w:rPr>
          <w:i/>
        </w:rPr>
        <w:t>(Litigation Unit--Davis) (Fossum)</w:t>
      </w:r>
      <w:r>
        <w:rPr/>
        <w:tab/>
      </w:r>
      <w:r>
        <w:rPr>
          <w:b/>
        </w:rPr>
        <w:t>NOT REVISED</w:t>
      </w:r>
    </w:p>
    <w:p>
      <w:pPr>
        <w:pStyle w:val="Normal"/>
        <w:numPr>
          <w:ilvl w:val="0"/>
          <w:numId w:val="20"/>
        </w:numPr>
        <w:tabs>
          <w:tab w:val="left" w:pos="540" w:leader="none"/>
          <w:tab w:val="right" w:pos="10800" w:leader="none"/>
        </w:tabs>
        <w:ind w:hanging="540" w:start="540" w:end="0"/>
        <w:jc w:val="both"/>
        <w:rPr/>
      </w:pPr>
      <w:r>
        <w:rPr/>
        <w:t>CAUSE OF ACTION:  Putative class of royalty owners sue various Texaco entities for recovery of take-or-pay settlement proceeds.</w:t>
      </w:r>
    </w:p>
    <w:p>
      <w:pPr>
        <w:pStyle w:val="Normal"/>
        <w:numPr>
          <w:ilvl w:val="0"/>
          <w:numId w:val="20"/>
        </w:numPr>
        <w:tabs>
          <w:tab w:val="left" w:pos="540" w:leader="none"/>
          <w:tab w:val="right" w:pos="10800" w:leader="none"/>
        </w:tabs>
        <w:ind w:hanging="540" w:start="540" w:end="0"/>
        <w:jc w:val="both"/>
        <w:rPr/>
      </w:pPr>
      <w:r>
        <w:rPr/>
        <w:t>STATUS:  Texaco placed Transwestern and Northern on notice that if Texaco were found liable, Texaco may look to Transwestern and Northern for indemnity pursuant to language of take-or-pay settlement agreements.  No Enron entity is expected to be joined in this action since indemnity language in the Transwestern and Northern agreements appear not to benefit Texaco.</w:t>
      </w:r>
    </w:p>
    <w:p>
      <w:pPr>
        <w:pStyle w:val="Normal"/>
        <w:tabs>
          <w:tab w:val="left" w:pos="540" w:leader="none"/>
          <w:tab w:val="right" w:pos="10800" w:leader="none"/>
        </w:tabs>
        <w:ind w:hanging="540" w:start="540" w:end="0"/>
        <w:jc w:val="both"/>
        <w:rPr/>
      </w:pPr>
      <w:r>
        <w:rPr/>
      </w:r>
    </w:p>
    <w:p>
      <w:pPr>
        <w:pStyle w:val="Normal"/>
        <w:keepNext w:val="true"/>
        <w:tabs>
          <w:tab w:val="left" w:pos="540" w:leader="none"/>
          <w:tab w:val="right" w:pos="10800" w:leader="none"/>
        </w:tabs>
        <w:ind w:hanging="540" w:start="540" w:end="0"/>
        <w:jc w:val="both"/>
        <w:rPr/>
      </w:pPr>
      <w:r>
        <w:rPr>
          <w:b/>
        </w:rPr>
        <w:t>3.</w:t>
        <w:tab/>
        <w:t xml:space="preserve">In Re:  Sunrise Energy Company; No. 394-36780-SAF-11, U.S. Bankruptcy Court, Northern District of Texas, Dallas Division </w:t>
      </w:r>
      <w:r>
        <w:rPr/>
        <w:t xml:space="preserve">(Filed November 15, 1994) (Served November 15, 1994) </w:t>
      </w:r>
      <w:r>
        <w:rPr>
          <w:i/>
        </w:rPr>
        <w:t>(Litigation Unit—Davis) (Pavlou)</w:t>
      </w:r>
      <w:r>
        <w:rPr>
          <w:b/>
        </w:rPr>
        <w:tab/>
        <w:t>NOT REVISED</w:t>
      </w:r>
    </w:p>
    <w:p>
      <w:pPr>
        <w:pStyle w:val="Normal"/>
        <w:numPr>
          <w:ilvl w:val="0"/>
          <w:numId w:val="20"/>
        </w:numPr>
        <w:tabs>
          <w:tab w:val="left" w:pos="540" w:leader="none"/>
          <w:tab w:val="right" w:pos="10800" w:leader="none"/>
        </w:tabs>
        <w:ind w:hanging="540" w:start="540" w:end="0"/>
        <w:jc w:val="both"/>
        <w:rPr/>
      </w:pPr>
      <w:r>
        <w:rPr/>
        <w:t>CAUSE OF ACTION:  Sunrise Energy Company ("Sunrise") and three affiliates filed for Chapter 11 protection.</w:t>
      </w:r>
    </w:p>
    <w:p>
      <w:pPr>
        <w:pStyle w:val="BodyText2"/>
        <w:widowControl/>
        <w:numPr>
          <w:ilvl w:val="0"/>
          <w:numId w:val="15"/>
        </w:numPr>
        <w:tabs>
          <w:tab w:val="clear" w:pos="720"/>
          <w:tab w:val="left" w:pos="540" w:leader="none"/>
          <w:tab w:val="right" w:pos="10800" w:leader="none"/>
        </w:tabs>
        <w:ind w:hanging="540" w:start="540" w:end="0"/>
        <w:rPr/>
      </w:pPr>
      <w:r>
        <w:rPr/>
        <w:t>STATUS:  Settlement was reached and an agreed order signed waiving all potential claims against Transwestern and settling all claims in the bankruptcy matter.  Anticipated recovery on the debt following the bankruptcy is estimated to be between 1%.  On September 18 the Trustee made a distribution to Transwestern of $2,244,737.02, bringing total distributions to $2,784.022.56.  A fourth distribution of $1,795,733 was received by Transwestern on May 27, 1999, bringing the total distribution to $4,602,295.61.  Final resolution of this bankruptcy proceeding is expected in the fourth quarter.  In the related SES bankruptcy, Transwestern received $22,500.00 in settlement of this matter.  A final motion to terminate the bankruptcy proceeding and discharge the trustee has been filed.  No objections to the motion are anticipated.</w:t>
      </w:r>
    </w:p>
    <w:p>
      <w:pPr>
        <w:pStyle w:val="BodyText2"/>
        <w:widowControl/>
        <w:tabs>
          <w:tab w:val="clear" w:pos="720"/>
          <w:tab w:val="left" w:pos="540" w:leader="none"/>
          <w:tab w:val="right" w:pos="10800" w:leader="none"/>
        </w:tabs>
        <w:rPr/>
      </w:pPr>
      <w:r>
        <w:rPr/>
      </w:r>
    </w:p>
    <w:p>
      <w:pPr>
        <w:pStyle w:val="BodyText2"/>
        <w:numPr>
          <w:ilvl w:val="0"/>
          <w:numId w:val="0"/>
        </w:numPr>
        <w:tabs>
          <w:tab w:val="clear" w:pos="720"/>
          <w:tab w:val="left" w:pos="360" w:leader="none"/>
          <w:tab w:val="left" w:pos="1440" w:leader="none"/>
          <w:tab w:val="right" w:pos="10800" w:leader="none"/>
        </w:tabs>
        <w:ind w:hanging="720" w:start="720" w:end="0"/>
        <w:rPr/>
      </w:pPr>
      <w:r>
        <w:rPr>
          <w:b/>
        </w:rPr>
        <w:t>4.</w:t>
        <w:tab/>
        <w:tab/>
      </w:r>
      <w:r>
        <w:rPr>
          <w:b/>
          <w:sz w:val="24"/>
        </w:rPr>
        <w:t xml:space="preserve">Quinque Operating Company (Ditto) </w:t>
      </w:r>
      <w:r>
        <w:rPr>
          <w:b/>
        </w:rPr>
        <w:t xml:space="preserve"> v. PG&amp;E, et al. (including Transwestern), Cause No. 99CV30; Dist. Ct. Stevens Co., Kansas </w:t>
      </w:r>
      <w:r>
        <w:rPr/>
        <w:t xml:space="preserve">(filed May 20, 1999) </w:t>
      </w:r>
      <w:r>
        <w:rPr>
          <w:i/>
        </w:rPr>
        <w:t>(Litigation Unit, (Holtzman)</w:t>
      </w:r>
      <w:r>
        <w:rPr>
          <w:b/>
        </w:rPr>
        <w:t xml:space="preserve"> </w:t>
        <w:tab/>
        <w:t>NOT REVISED</w:t>
      </w:r>
    </w:p>
    <w:p>
      <w:pPr>
        <w:pStyle w:val="Normal"/>
        <w:keepNext w:val="true"/>
        <w:numPr>
          <w:ilvl w:val="0"/>
          <w:numId w:val="0"/>
        </w:numPr>
        <w:tabs>
          <w:tab w:val="clear" w:pos="540"/>
          <w:tab w:val="right" w:pos="10800" w:leader="none"/>
        </w:tabs>
        <w:suppressAutoHyphens w:val="true"/>
        <w:ind w:hanging="720" w:start="720" w:end="0"/>
        <w:jc w:val="both"/>
        <w:rPr/>
      </w:pPr>
      <w:r>
        <w:rPr>
          <w:rFonts w:eastAsia="Symbol" w:cs="Symbol" w:ascii="Symbol" w:hAnsi="Symbol"/>
          <w:b/>
          <w:color w:val="000000"/>
        </w:rPr>
        <w:sym w:font="Symbol" w:char="f0b7"/>
      </w:r>
      <w:r>
        <w:rPr>
          <w:b/>
          <w:color w:val="000000"/>
        </w:rPr>
        <w:tab/>
      </w:r>
      <w:r>
        <w:rPr>
          <w:color w:val="000000"/>
        </w:rPr>
        <w:t xml:space="preserve">CAUSE OF ACTION:  </w:t>
      </w:r>
      <w:r>
        <w:rPr/>
        <w:t>Class action, mis-measurement (both volume and heating content) (Grynberg claims, but on non-federal and non-Indian lands).</w:t>
      </w:r>
    </w:p>
    <w:p>
      <w:pPr>
        <w:pStyle w:val="Normal"/>
        <w:numPr>
          <w:ilvl w:val="0"/>
          <w:numId w:val="20"/>
        </w:numPr>
        <w:tabs>
          <w:tab w:val="clear" w:pos="540"/>
          <w:tab w:val="left" w:pos="1440" w:leader="none"/>
          <w:tab w:val="right" w:pos="10800" w:leader="none"/>
        </w:tabs>
        <w:ind w:hanging="720" w:start="720" w:end="0"/>
        <w:jc w:val="both"/>
        <w:rPr/>
      </w:pPr>
      <w:r>
        <w:rPr>
          <w:color w:val="000000"/>
        </w:rPr>
        <w:t xml:space="preserve">STATUS: </w:t>
      </w:r>
      <w:r>
        <w:rPr>
          <w:i/>
        </w:rPr>
        <w:t>See Ditto v. PG&amp;E under FGT report .</w:t>
      </w:r>
    </w:p>
    <w:p>
      <w:pPr>
        <w:pStyle w:val="Normal"/>
        <w:keepNext w:val="true"/>
        <w:numPr>
          <w:ilvl w:val="0"/>
          <w:numId w:val="0"/>
        </w:numPr>
        <w:tabs>
          <w:tab w:val="clear" w:pos="540"/>
          <w:tab w:val="right" w:pos="10800" w:leader="none"/>
        </w:tabs>
        <w:suppressAutoHyphens w:val="true"/>
        <w:ind w:hanging="360" w:start="360" w:end="0"/>
        <w:jc w:val="both"/>
        <w:rPr/>
      </w:pPr>
      <w:r>
        <w:rPr/>
      </w:r>
    </w:p>
    <w:p>
      <w:pPr>
        <w:pStyle w:val="Normal"/>
        <w:keepNext w:val="true"/>
        <w:numPr>
          <w:ilvl w:val="0"/>
          <w:numId w:val="0"/>
        </w:numPr>
        <w:tabs>
          <w:tab w:val="left" w:pos="540" w:leader="none"/>
          <w:tab w:val="right" w:pos="10800" w:leader="none"/>
        </w:tabs>
        <w:ind w:hanging="540" w:start="540" w:end="0"/>
        <w:jc w:val="both"/>
        <w:rPr/>
      </w:pPr>
      <w:r>
        <w:rPr>
          <w:b/>
        </w:rPr>
        <w:t>5.</w:t>
      </w:r>
      <w:r>
        <w:rPr/>
        <w:t xml:space="preserve"> </w:t>
      </w:r>
      <w:r>
        <w:rPr>
          <w:b/>
          <w:color w:val="000000"/>
        </w:rPr>
        <w:tab/>
        <w:t>Transwestern Pipeline Company v. New Mexico Environment Department et al.; Civ 90-01203MV, United State District Court, New Mexico</w:t>
      </w:r>
      <w:r>
        <w:rPr>
          <w:color w:val="000000"/>
        </w:rPr>
        <w:t xml:space="preserve"> </w:t>
      </w:r>
      <w:r>
        <w:rPr/>
        <w:t xml:space="preserve">(Filed September 3, 1996) (Not served) </w:t>
      </w:r>
      <w:r>
        <w:rPr>
          <w:i/>
          <w:color w:val="000000"/>
        </w:rPr>
        <w:t>(Virtue &amp; Najjar) (Soldano)</w:t>
      </w:r>
      <w:r>
        <w:rPr>
          <w:b/>
          <w:color w:val="000000"/>
        </w:rPr>
        <w:tab/>
        <w:t>NOT REVISED</w:t>
      </w:r>
    </w:p>
    <w:p>
      <w:pPr>
        <w:pStyle w:val="Normal"/>
        <w:numPr>
          <w:ilvl w:val="0"/>
          <w:numId w:val="20"/>
        </w:numPr>
        <w:ind w:hanging="540" w:start="540" w:end="0"/>
        <w:jc w:val="both"/>
        <w:rPr/>
      </w:pPr>
      <w:r>
        <w:rPr>
          <w:color w:val="000000"/>
        </w:rPr>
        <w:t xml:space="preserve">For several years Transwestern has been working with two agencies of the State of </w:t>
      </w:r>
      <w:r>
        <w:rPr/>
        <w:t>CAUSE OF ACTION:  On September 3, 1996 Transwestern filed suit (but did not serve) in Federal Court seeking declaratory and injunctive relief as the result of threatened enforcement action by the New Mexico Environment Department.</w:t>
      </w:r>
    </w:p>
    <w:p>
      <w:pPr>
        <w:pStyle w:val="Normal"/>
        <w:numPr>
          <w:ilvl w:val="0"/>
          <w:numId w:val="20"/>
        </w:numPr>
        <w:ind w:hanging="540" w:start="540" w:end="0"/>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tabs>
          <w:tab w:val="left" w:pos="540" w:leader="none"/>
          <w:tab w:val="right" w:pos="10800" w:leader="none"/>
        </w:tabs>
        <w:ind w:hanging="540" w:start="540" w:end="0"/>
        <w:jc w:val="both"/>
        <w:rPr/>
      </w:pPr>
      <w:r>
        <w:rPr/>
      </w:r>
    </w:p>
    <w:p>
      <w:pPr>
        <w:pStyle w:val="Normal"/>
        <w:keepNext w:val="true"/>
        <w:tabs>
          <w:tab w:val="left" w:pos="540" w:leader="none"/>
          <w:tab w:val="center" w:pos="5400" w:leader="none"/>
          <w:tab w:val="right" w:pos="10800" w:leader="none"/>
        </w:tabs>
        <w:rPr/>
      </w:pPr>
      <w:r>
        <w:rPr>
          <w:b/>
          <w:color w:val="000000"/>
        </w:rPr>
        <w:tab/>
        <w:tab/>
      </w:r>
      <w:r>
        <w:rPr>
          <w:b/>
          <w:color w:val="000000"/>
          <w:u w:val="single"/>
        </w:rPr>
        <w:t>FLORIDA GAS TRANSMISSION COMPANY</w:t>
      </w:r>
    </w:p>
    <w:p>
      <w:pPr>
        <w:pStyle w:val="Normal"/>
        <w:keepNext w:val="true"/>
        <w:tabs>
          <w:tab w:val="left" w:pos="540" w:leader="none"/>
          <w:tab w:val="right" w:pos="10800" w:leader="none"/>
        </w:tabs>
        <w:ind w:hanging="540" w:start="540" w:end="0"/>
        <w:rPr>
          <w:b/>
          <w:color w:val="000000"/>
          <w:u w:val="single"/>
        </w:rPr>
      </w:pPr>
      <w:r>
        <w:rPr>
          <w:b/>
          <w:color w:val="000000"/>
          <w:u w:val="single"/>
        </w:rPr>
      </w:r>
    </w:p>
    <w:p>
      <w:pPr>
        <w:pStyle w:val="Heading9"/>
        <w:rPr/>
      </w:pPr>
      <w:r>
        <w:rPr/>
        <w:t>LITIGATION</w:t>
      </w:r>
    </w:p>
    <w:p>
      <w:pPr>
        <w:pStyle w:val="Normal"/>
        <w:keepNext w:val="true"/>
        <w:tabs>
          <w:tab w:val="left" w:pos="540" w:leader="none"/>
          <w:tab w:val="right" w:pos="10800" w:leader="none"/>
        </w:tabs>
        <w:ind w:hanging="540" w:start="540" w:end="0"/>
        <w:rPr>
          <w:color w:val="000000"/>
        </w:rPr>
      </w:pPr>
      <w:r>
        <w:rPr>
          <w:color w:val="000000"/>
        </w:rPr>
      </w:r>
    </w:p>
    <w:p>
      <w:pPr>
        <w:pStyle w:val="Normal"/>
        <w:keepNext w:val="true"/>
        <w:tabs>
          <w:tab w:val="left" w:pos="540" w:leader="none"/>
          <w:tab w:val="right" w:pos="10800" w:leader="none"/>
        </w:tabs>
        <w:ind w:hanging="540" w:start="540" w:end="0"/>
        <w:jc w:val="both"/>
        <w:rPr/>
      </w:pPr>
      <w:r>
        <w:rPr>
          <w:b/>
        </w:rPr>
        <w:t>1.</w:t>
        <w:tab/>
        <w:t xml:space="preserve">Air Liquide American Corporation, et al. v. Port of Houston Authority of Harris County, Texas, Cause No. 98-56844, 333rd Judicial District Court of Harris County, Texas and companion case Air Liquide American Corporation, et al. v. United States Army Corps of Engineers, Cause No. H-98-3982, United States District Court for the Southern District of Texas, Houston Division </w:t>
      </w:r>
      <w:r>
        <w:rPr/>
        <w:t xml:space="preserve">(both filed on November 25, 1998).  </w:t>
      </w:r>
      <w:r>
        <w:rPr>
          <w:i/>
        </w:rPr>
        <w:t>(Jeff Dykes) (Kyle/Raker/Shelton)</w:t>
      </w:r>
      <w:r>
        <w:rPr/>
        <w:tab/>
      </w:r>
      <w:r>
        <w:rPr>
          <w:b/>
        </w:rPr>
        <w:t>NOT REVISED</w:t>
      </w:r>
    </w:p>
    <w:p>
      <w:pPr>
        <w:pStyle w:val="Normal"/>
        <w:keepNext w:val="true"/>
        <w:numPr>
          <w:ilvl w:val="0"/>
          <w:numId w:val="20"/>
        </w:numPr>
        <w:tabs>
          <w:tab w:val="left" w:pos="540" w:leader="none"/>
          <w:tab w:val="right" w:pos="10800" w:leader="none"/>
        </w:tabs>
        <w:ind w:hanging="450" w:start="540" w:end="0"/>
        <w:jc w:val="both"/>
        <w:rPr/>
      </w:pPr>
      <w:r>
        <w:rPr/>
        <w:t>CAUSE OF ACTION:  EGP Fuels Company, FGT, and Houston Pipe Line Company are part of a 16 company group that seek to be reimbursed for pipeline removal/relocation expenses associated with a deepening project initiated by the Port of Houston Authority (PHA) and to be implemented by the United States Army Corps of Engineers.  The group has filed a declaratory judgment action to the effect that pursuant to the Texas Water Code, we are entitled to 100% reimbursement.  We have also requested damages for an unconstitutional taking under the Texas and United States Constitutions.</w:t>
      </w:r>
    </w:p>
    <w:p>
      <w:pPr>
        <w:pStyle w:val="Normal"/>
        <w:keepNext w:val="true"/>
        <w:numPr>
          <w:ilvl w:val="0"/>
          <w:numId w:val="20"/>
        </w:numPr>
        <w:tabs>
          <w:tab w:val="left" w:pos="540" w:leader="none"/>
          <w:tab w:val="right" w:pos="10800" w:leader="none"/>
        </w:tabs>
        <w:ind w:hanging="450" w:start="540" w:end="0"/>
        <w:jc w:val="both"/>
        <w:rPr/>
      </w:pPr>
      <w:r>
        <w:rPr/>
        <w:t>STATUS:  Although hearing for Summary Judgments filed by all parties was set for July 16</w:t>
      </w:r>
      <w:r>
        <w:rPr>
          <w:vertAlign w:val="superscript"/>
        </w:rPr>
        <w:t>th</w:t>
      </w:r>
      <w:r>
        <w:rPr/>
        <w:t>, Judge Hughes did not rule on them.  He instead gave the parties direction by pronouncing his determination of the definition of "utility", which was in our favor and making a decision that this is not a "deep draft harbor" project.  He then told both sides to attempt settlement.  At the October 12</w:t>
      </w:r>
      <w:r>
        <w:rPr>
          <w:vertAlign w:val="superscript"/>
        </w:rPr>
        <w:t>th</w:t>
      </w:r>
      <w:r>
        <w:rPr/>
        <w:t xml:space="preserve"> pre trial conference, the judge set another status conference for some time after the first of the year, possibly January 10</w:t>
      </w:r>
      <w:r>
        <w:rPr>
          <w:vertAlign w:val="superscript"/>
        </w:rPr>
        <w:t>th</w:t>
      </w:r>
      <w:r>
        <w:rPr/>
        <w:t>, with the admonition that the parties should continue to try to settle this matter.  Judge Hughes also said that the pending motions will be held in abeyance until the conference.</w:t>
      </w:r>
    </w:p>
    <w:p>
      <w:pPr>
        <w:pStyle w:val="Normal"/>
        <w:jc w:val="both"/>
        <w:rPr>
          <w:b/>
        </w:rPr>
      </w:pPr>
      <w:r>
        <w:rPr>
          <w:b/>
        </w:rPr>
      </w:r>
    </w:p>
    <w:p>
      <w:pPr>
        <w:pStyle w:val="Normal"/>
        <w:keepNext w:val="true"/>
        <w:keepLines/>
        <w:tabs>
          <w:tab w:val="left" w:pos="540" w:leader="none"/>
          <w:tab w:val="right" w:pos="10800" w:leader="none"/>
        </w:tabs>
        <w:ind w:hanging="547" w:start="547" w:end="0"/>
        <w:jc w:val="both"/>
        <w:rPr/>
      </w:pPr>
      <w:r>
        <w:rPr>
          <w:b/>
          <w:color w:val="000000"/>
        </w:rPr>
        <w:t>2.</w:t>
        <w:tab/>
        <w:t xml:space="preserve">Bettis v. Florida Power Corporation; et al; Cause no. 96-4696 CI; in the Sixth Judicial Circuit Court, Pinellas County, Florida </w:t>
      </w:r>
      <w:r>
        <w:rPr/>
        <w:t xml:space="preserve">(Filed July 29, 1996) (Served July 29, 1996) </w:t>
      </w:r>
      <w:r>
        <w:rPr>
          <w:i/>
        </w:rPr>
        <w:t>(Kyle)</w:t>
      </w:r>
      <w:r>
        <w:rPr>
          <w:b/>
          <w:color w:val="000000"/>
        </w:rPr>
        <w:tab/>
        <w:t>NOT REVISED</w:t>
      </w:r>
    </w:p>
    <w:p>
      <w:pPr>
        <w:pStyle w:val="Normal"/>
        <w:numPr>
          <w:ilvl w:val="0"/>
          <w:numId w:val="20"/>
        </w:numPr>
        <w:ind w:hanging="540" w:start="540" w:end="0"/>
        <w:jc w:val="both"/>
        <w:rPr/>
      </w:pPr>
      <w:r>
        <w:rPr/>
        <w:t>CAUSE OF ACTION:  On May 24, 1994 four individuals including plaintiffs, all employees of HC Price, were injured when a Florida Power Corporation’s (FPC) power lines were hit by the boom used by plaintiffs to off-load pipe on FGT’s right of way during Phase III construction.</w:t>
      </w:r>
    </w:p>
    <w:p>
      <w:pPr>
        <w:pStyle w:val="Normal"/>
        <w:numPr>
          <w:ilvl w:val="0"/>
          <w:numId w:val="20"/>
        </w:numPr>
        <w:ind w:hanging="540" w:start="540" w:end="0"/>
        <w:jc w:val="both"/>
        <w:rPr/>
      </w:pPr>
      <w:r>
        <w:rPr/>
        <w:t>STATUS:  FGT has agreed to assume FPC’s defense pursuant to right of way agreement between FPC and FGT.  By agreement of the parties, these matters have been consolidated under the captioned style.  Discovery is ongoing.  FGT's demand for defense and indemnity tendered upon Wilbros, Applied Power Associates (APA) and Fluor Daniel have been denied.  We are preparing responses to the denials.</w:t>
      </w:r>
    </w:p>
    <w:p>
      <w:pPr>
        <w:pStyle w:val="Normal"/>
        <w:tabs>
          <w:tab w:val="left" w:pos="540" w:leader="none"/>
          <w:tab w:val="right" w:pos="10800" w:leader="none"/>
        </w:tabs>
        <w:ind w:hanging="547" w:start="547" w:end="0"/>
        <w:jc w:val="both"/>
        <w:rPr>
          <w:color w:val="000000"/>
        </w:rPr>
      </w:pPr>
      <w:r>
        <w:rPr>
          <w:color w:val="000000"/>
        </w:rPr>
      </w:r>
    </w:p>
    <w:p>
      <w:pPr>
        <w:pStyle w:val="Normal"/>
        <w:keepNext w:val="true"/>
        <w:keepLines/>
        <w:tabs>
          <w:tab w:val="left" w:pos="540" w:leader="none"/>
          <w:tab w:val="right" w:pos="10800" w:leader="none"/>
        </w:tabs>
        <w:ind w:hanging="547" w:start="547" w:end="0"/>
        <w:jc w:val="both"/>
        <w:rPr/>
      </w:pPr>
      <w:r>
        <w:rPr>
          <w:b/>
          <w:color w:val="000000"/>
        </w:rPr>
        <w:t>3.</w:t>
        <w:tab/>
      </w:r>
      <w:r>
        <w:rPr>
          <w:b/>
        </w:rPr>
        <w:t xml:space="preserve">Ferrino v. Hare, Howell Pipeline Texas, Inc., and Howell Crude Oil Company v. Florida Gas </w:t>
      </w:r>
      <w:r>
        <w:rPr>
          <w:b/>
          <w:color w:val="000000"/>
        </w:rPr>
        <w:t>Transmission</w:t>
      </w:r>
      <w:r>
        <w:rPr>
          <w:b/>
        </w:rPr>
        <w:t xml:space="preserve"> Company, Enron Engineering and Construction Company f/k/a Enron Gas Pipeline Operating Company; Cause No. 97CV0677; 122nd Judicial District Court, Galveston County, Texas</w:t>
      </w:r>
      <w:r>
        <w:rPr/>
        <w:t xml:space="preserve"> (Filed June 1, 1998) (Served June 11, 1998) (</w:t>
      </w:r>
      <w:r>
        <w:rPr>
          <w:i/>
        </w:rPr>
        <w:t>John Sullivan, Fulbright &amp; Jaworski)</w:t>
      </w:r>
      <w:r>
        <w:rPr/>
        <w:t xml:space="preserve"> </w:t>
      </w:r>
      <w:r>
        <w:rPr>
          <w:i/>
        </w:rPr>
        <w:t>(Litigation Unit—Vote) (Crowley)</w:t>
      </w:r>
      <w:r>
        <w:rPr>
          <w:b/>
        </w:rPr>
        <w:tab/>
      </w:r>
      <w:r>
        <w:rPr>
          <w:b/>
          <w:color w:val="000000"/>
          <w:spacing w:val="-3"/>
        </w:rPr>
        <w:t>NOT REVISED</w:t>
      </w:r>
    </w:p>
    <w:p>
      <w:pPr>
        <w:pStyle w:val="Normal"/>
        <w:numPr>
          <w:ilvl w:val="0"/>
          <w:numId w:val="20"/>
        </w:numPr>
        <w:ind w:hanging="540" w:start="540" w:end="0"/>
        <w:jc w:val="both"/>
        <w:rPr/>
      </w:pPr>
      <w:r>
        <w:rPr/>
        <w:t>CAUSE OF ACTION:  Third-party action against FGT and EE&amp;CC for contribution and negligence in allowing or causing a fence to break and allowing a cow to get loose which was involved in an automobile/cow collision on March 23, 1996 on Highway 3 in Galveston County.  The theory advanced is that Enron defendants negligently maintained and operated a pipeline easement across the land where the cow was pastured.</w:t>
      </w:r>
    </w:p>
    <w:p>
      <w:pPr>
        <w:pStyle w:val="Normal"/>
        <w:numPr>
          <w:ilvl w:val="0"/>
          <w:numId w:val="20"/>
        </w:numPr>
        <w:ind w:hanging="540" w:start="540" w:end="0"/>
        <w:jc w:val="both"/>
        <w:rPr/>
      </w:pPr>
      <w:r>
        <w:rPr/>
        <w:t xml:space="preserve">STATUS:  Mediation was unsuccessful. An amended scheduling order sets trial for November 1, 1999.  Motion for Summary Judgment on Statute of Limitations filed on behalf of HPL.  We await </w:t>
      </w:r>
      <w:r>
        <w:rPr>
          <w:color w:val="000000"/>
        </w:rPr>
        <w:t>Court</w:t>
      </w:r>
      <w:r>
        <w:rPr/>
        <w:t xml:space="preserve"> ruling.  Summary judgment denied in part and part taken under advisement.  Trial set for January 3, 2000.</w:t>
      </w:r>
    </w:p>
    <w:p>
      <w:pPr>
        <w:pStyle w:val="Normal"/>
        <w:tabs>
          <w:tab w:val="left" w:pos="540" w:leader="none"/>
          <w:tab w:val="right" w:pos="10800" w:leader="none"/>
        </w:tabs>
        <w:jc w:val="both"/>
        <w:rPr>
          <w:color w:val="000000"/>
        </w:rPr>
      </w:pPr>
      <w:r>
        <w:rPr>
          <w:color w:val="000000"/>
        </w:rPr>
      </w:r>
    </w:p>
    <w:p>
      <w:pPr>
        <w:pStyle w:val="Normal"/>
        <w:keepNext w:val="true"/>
        <w:tabs>
          <w:tab w:val="left" w:pos="540" w:leader="none"/>
          <w:tab w:val="right" w:pos="10800" w:leader="none"/>
        </w:tabs>
        <w:ind w:hanging="540" w:start="540" w:end="0"/>
        <w:jc w:val="both"/>
        <w:rPr/>
      </w:pPr>
      <w:r>
        <w:rPr>
          <w:b/>
          <w:color w:val="000000"/>
        </w:rPr>
        <w:t>4.</w:t>
        <w:tab/>
        <w:t>FGT v.</w:t>
      </w:r>
      <w:r>
        <w:rPr>
          <w:color w:val="000000"/>
        </w:rPr>
        <w:t xml:space="preserve"> </w:t>
      </w:r>
      <w:r>
        <w:rPr>
          <w:b/>
          <w:color w:val="000000"/>
        </w:rPr>
        <w:t xml:space="preserve">Indian River Farms Water District; Civil Action No. 96-14083, US District Court, S.D. Florida </w:t>
      </w:r>
      <w:r>
        <w:rPr/>
        <w:t xml:space="preserve">(Filed April 3, 1996) (Served April 8, 1996) </w:t>
      </w:r>
      <w:r>
        <w:rPr>
          <w:i/>
          <w:color w:val="000000"/>
        </w:rPr>
        <w:t>(Bricklemyer, Smolker &amp; Bolves) (Raker)</w:t>
      </w:r>
      <w:r>
        <w:rPr>
          <w:b/>
          <w:color w:val="000000"/>
        </w:rPr>
        <w:tab/>
        <w:t>NOT REVISED</w:t>
      </w:r>
    </w:p>
    <w:p>
      <w:pPr>
        <w:pStyle w:val="Normal"/>
        <w:numPr>
          <w:ilvl w:val="0"/>
          <w:numId w:val="20"/>
        </w:numPr>
        <w:ind w:hanging="540" w:start="540" w:end="0"/>
        <w:jc w:val="both"/>
        <w:rPr>
          <w:color w:val="000000"/>
        </w:rPr>
      </w:pPr>
      <w:r>
        <w:rPr>
          <w:color w:val="000000"/>
        </w:rPr>
        <w:t>CAUSE OF ACTION: FGT commenced eminent domain action against the District on April 3, 1996.</w:t>
      </w:r>
    </w:p>
    <w:p>
      <w:pPr>
        <w:pStyle w:val="Normal"/>
        <w:numPr>
          <w:ilvl w:val="0"/>
          <w:numId w:val="20"/>
        </w:numPr>
        <w:ind w:hanging="540" w:start="540" w:end="0"/>
        <w:jc w:val="both"/>
        <w:rPr>
          <w:color w:val="000000"/>
        </w:rPr>
      </w:pPr>
      <w:r>
        <w:rPr>
          <w:color w:val="000000"/>
        </w:rPr>
        <w:t>STATUS: FGT requested a perpetual easement for FGT's existing 8 inch Vero Beach pipeline in the District's ROW instead of the renewable permit since the 1996 permit terms were unacceptable to FGT. In 1996 FGT appraised the easement at $95,000 and offered this amount to the District.  The District refused to consider an easement grant. The Court referred this matter to a Magistrate for bifurcated hearings on the issue of FGT's right to the "taking" of the District's property and the compensation owed the District if the "taking" is granted.  Partial Summary Judgment was granted in June, 1998 in FGT’s favor on the authority to condemn an easement through District property.  The Order on FGT’s Motion for PSJ directs the parties to mediate the compensation issue.  Mediation conference held March 19, 1999 was unsuccessful. The unsigned and incomplete appraisal report from the District used a consequential damages method of valuation, the “substitute facilities” doctrine, to claim $12M – $15M as compensation for FGT’s taking.  The consequential damages method of appraisal has not been accepted to date in eminent domain proceedings in Florida state courts or federal 11</w:t>
      </w:r>
      <w:r>
        <w:rPr>
          <w:color w:val="000000"/>
          <w:vertAlign w:val="superscript"/>
        </w:rPr>
        <w:t>th</w:t>
      </w:r>
      <w:r>
        <w:rPr>
          <w:color w:val="000000"/>
        </w:rPr>
        <w:t xml:space="preserve"> circuit court when the market value of a condemned property is ascertainable.  Status conference held June 30, 1999 wherein Court ordered District to obtain a final appraisal by July 30, 1999.  This appraisal came in at $12-15 million.  FGT motion in limine filed August 20, 1999 to exclude defendant's evidence on "substitute facilities" doctrine and speculative future use as basis for measuring compensation for the taking.  Hearing held 9/27/99 wherein the Court ordered the District to produce evidence that their arguments opposing FGT's motion in limine were not based on speculative future use of the District's property.  Defendant's deadline to produce such evidence is October 6, 1999 with FGT's response due October 10, 1999.  Trial on damages phase of condemnation is set for the week of December 6, 1999.  FGT filed second motion in limine in September 1999 which seeks to block admission of defendant's appraisal testimony for failure to complete the work as ordered by the Court.</w:t>
      </w:r>
    </w:p>
    <w:p>
      <w:pPr>
        <w:pStyle w:val="Normal"/>
        <w:jc w:val="both"/>
        <w:rPr>
          <w:color w:val="000000"/>
        </w:rPr>
      </w:pPr>
      <w:r>
        <w:rPr>
          <w:color w:val="000000"/>
        </w:rPr>
      </w:r>
    </w:p>
    <w:p>
      <w:pPr>
        <w:pStyle w:val="Normal"/>
        <w:keepNext w:val="true"/>
        <w:tabs>
          <w:tab w:val="left" w:pos="540" w:leader="none"/>
          <w:tab w:val="right" w:pos="10800" w:leader="none"/>
        </w:tabs>
        <w:ind w:hanging="547" w:start="547" w:end="0"/>
        <w:jc w:val="both"/>
        <w:rPr/>
      </w:pPr>
      <w:r>
        <w:rPr>
          <w:b/>
        </w:rPr>
        <w:t>5.</w:t>
        <w:tab/>
        <w:t>FGT Compressor Station #15 Fire</w:t>
      </w:r>
      <w:r>
        <w:rPr/>
        <w:t xml:space="preserve"> (Filed - NA) (Served - NA) </w:t>
      </w:r>
      <w:r>
        <w:rPr>
          <w:i/>
        </w:rPr>
        <w:t>(Litigation Unit) (Fowler, White) (Vinson &amp; Elkins) (Litigation Unit-Kisluk) (Soldano)</w:t>
      </w:r>
      <w:r>
        <w:rPr/>
        <w:tab/>
      </w:r>
      <w:r>
        <w:rPr>
          <w:b/>
        </w:rPr>
        <w:t>NOT REVISED</w:t>
      </w:r>
    </w:p>
    <w:p>
      <w:pPr>
        <w:pStyle w:val="Normal"/>
        <w:numPr>
          <w:ilvl w:val="0"/>
          <w:numId w:val="20"/>
        </w:numPr>
        <w:ind w:hanging="540" w:start="540" w:end="0"/>
        <w:jc w:val="both"/>
        <w:rPr/>
      </w:pPr>
      <w:r>
        <w:rPr/>
        <w:t>CAUSE OF ACTION:  Investigation of anticipated personal injury, property damage (first party and third party), and business interruption claims involving August 14, 1998, filed at FGT Compressor station #15, Perry, Florida.</w:t>
      </w:r>
    </w:p>
    <w:p>
      <w:pPr>
        <w:pStyle w:val="Normal"/>
        <w:numPr>
          <w:ilvl w:val="0"/>
          <w:numId w:val="20"/>
        </w:numPr>
        <w:ind w:hanging="540" w:start="540" w:end="0"/>
        <w:jc w:val="both"/>
        <w:rPr/>
      </w:pPr>
      <w:r>
        <w:rPr/>
        <w:t>STATUS:  Carriers notified and adjusters engaged.  Florida Fire Marshall has concluded the fire was accidental.  DOT investigation found no violations during their investigation of the incident which appears to have been triggered by natural forces.  All anticipated claimants have been settled, except one of two firemen that were injured, and the homes and land of nearby landowners have been acquired.  FGT filed two partial Proof of Loss with underwriters for the total sum of $12 million on December 4.  On June 28, 1999 FGT received a settlement demand on behalf of the injured fireman of $3.6 million.  Mediation took place November 11</w:t>
      </w:r>
      <w:r>
        <w:rPr>
          <w:vertAlign w:val="superscript"/>
        </w:rPr>
        <w:t>th</w:t>
      </w:r>
      <w:r>
        <w:rPr/>
        <w:t xml:space="preserve"> and the matter was settled.  Settlement documents are being circulated.</w:t>
      </w:r>
    </w:p>
    <w:p>
      <w:pPr>
        <w:pStyle w:val="Normal"/>
        <w:jc w:val="both"/>
        <w:rPr/>
      </w:pPr>
      <w:r>
        <w:rPr/>
      </w:r>
    </w:p>
    <w:p>
      <w:pPr>
        <w:pStyle w:val="Normal"/>
        <w:keepNext w:val="true"/>
        <w:tabs>
          <w:tab w:val="left" w:pos="540" w:leader="none"/>
          <w:tab w:val="right" w:pos="10800" w:leader="none"/>
        </w:tabs>
        <w:ind w:hanging="540" w:start="540" w:end="0"/>
        <w:jc w:val="both"/>
        <w:rPr>
          <w:i/>
          <w:i/>
        </w:rPr>
      </w:pPr>
      <w:r>
        <w:rPr>
          <w:b/>
        </w:rPr>
        <w:t>6.</w:t>
        <w:tab/>
        <w:t xml:space="preserve">Halilis v. Florida Gas Transmission Company (Demand Letter- May 10, 1999) </w:t>
      </w:r>
      <w:r>
        <w:rPr>
          <w:i/>
        </w:rPr>
        <w:t>(Litigation Unit-Grant)(Reich)</w:t>
      </w:r>
      <w:r>
        <w:rPr>
          <w:b/>
        </w:rPr>
        <w:tab/>
        <w:t>NOT REVISED</w:t>
      </w:r>
    </w:p>
    <w:p>
      <w:pPr>
        <w:pStyle w:val="Normal"/>
        <w:numPr>
          <w:ilvl w:val="0"/>
          <w:numId w:val="20"/>
        </w:numPr>
        <w:tabs>
          <w:tab w:val="clear" w:pos="540"/>
        </w:tabs>
        <w:ind w:hanging="540" w:start="540" w:end="0"/>
        <w:jc w:val="both"/>
        <w:rPr/>
      </w:pPr>
      <w:r>
        <w:rPr/>
        <w:t xml:space="preserve">CAUSE OF ACTION:  Plaintiff claims that FGT damaged his oyster beds by activities associated with the April 1998 lowering of the twenty four inch FGT pipeline in the Gulf.  Plaintiff has made a demand for $697,087.50 based upon a trespass cause of action for damages and as a third party beneficiary for breach of the Limited Term Easement between FGT and the State of Texas.  </w:t>
      </w:r>
    </w:p>
    <w:p>
      <w:pPr>
        <w:pStyle w:val="Normal"/>
        <w:jc w:val="both"/>
        <w:rPr/>
      </w:pPr>
      <w:r>
        <w:rPr/>
        <w:t>STATUS:   On June 30, 1999, we offered the Halilis $21,738 to settle the alleged claims.  The offer was rejected.  We inspected the oyster leases on August 13 and are awaiting our expert’s report.  Initial results show minimal, if any, damage from our construction activities.   The assessment of alleged oyster lease damages has taken place and shows minimal if any impact from FGT 's April 1998 pipeline lowering.  Direction drill completed without incident.</w:t>
      </w:r>
    </w:p>
    <w:p>
      <w:pPr>
        <w:pStyle w:val="Normal"/>
        <w:keepNext w:val="true"/>
        <w:keepLines/>
        <w:tabs>
          <w:tab w:val="left" w:pos="540" w:leader="none"/>
          <w:tab w:val="right" w:pos="10800" w:leader="none"/>
        </w:tabs>
        <w:ind w:hanging="547" w:start="547" w:end="0"/>
        <w:jc w:val="both"/>
        <w:rPr/>
      </w:pPr>
      <w:r>
        <w:rPr>
          <w:b/>
        </w:rPr>
        <w:t>7.</w:t>
        <w:tab/>
        <w:t xml:space="preserve">Henkels &amp; McCoy, Inc. v. Florida Gas Transmission Company and XYZ Insurance Company (New Orleans, Federal Court) </w:t>
      </w:r>
      <w:r>
        <w:rPr/>
        <w:t xml:space="preserve">(Filed April 5, 1999) (Served April 15, 1999) </w:t>
      </w:r>
      <w:r>
        <w:rPr>
          <w:i/>
        </w:rPr>
        <w:t>(Mangham, Hardy &amp; Stevens/Onebane, Bernard, Torian, Diaz, McNamara &amp; Abell) (Soldano)</w:t>
      </w:r>
      <w:r>
        <w:rPr>
          <w:b/>
        </w:rPr>
        <w:tab/>
        <w:t>NOT REVISED</w:t>
      </w:r>
    </w:p>
    <w:p>
      <w:pPr>
        <w:pStyle w:val="Normal"/>
        <w:numPr>
          <w:ilvl w:val="0"/>
          <w:numId w:val="4"/>
        </w:numPr>
        <w:ind w:hanging="540" w:start="540" w:end="0"/>
        <w:jc w:val="both"/>
        <w:rPr/>
      </w:pPr>
      <w:r>
        <w:rPr/>
        <w:t>CAUSE OF ACTION:</w:t>
      </w:r>
      <w:r>
        <w:rPr>
          <w:b/>
        </w:rPr>
        <w:t xml:space="preserve">  </w:t>
      </w:r>
      <w:r>
        <w:rPr/>
        <w:t>Complaint for Damages and/or Declaratory Judgment and/or Specific Performance filed against Florida Gas Transmission Company (FGT) for breach of Abramson and Harrison "global settlement".  Complaint alleges that FGT failed to enter into an arbitration agreement with Henkels &amp; McCoy regarding costs and expenses incurred by Henkels &amp; McCoy in the Abramson and Harrison suits which were not covered, paid or reimbursed by Henkels &amp; McCoy's insurer, Liberty Mutual Insurance Company.  Plaintiff seeks unspecified damages.</w:t>
      </w:r>
    </w:p>
    <w:p>
      <w:pPr>
        <w:pStyle w:val="Normal"/>
        <w:numPr>
          <w:ilvl w:val="0"/>
          <w:numId w:val="5"/>
        </w:numPr>
        <w:tabs>
          <w:tab w:val="left" w:pos="540" w:leader="none"/>
          <w:tab w:val="right" w:pos="10800" w:leader="none"/>
        </w:tabs>
        <w:ind w:hanging="540" w:start="540" w:end="0"/>
        <w:jc w:val="both"/>
        <w:rPr>
          <w:color w:val="000000"/>
        </w:rPr>
      </w:pPr>
      <w:r>
        <w:rPr/>
        <w:t>STATUS:  Responsive pleading and counterclaim filed June 5, 1999 with an offer to arbitrate the issues of whether a complete settlement has been reached and, if not, whether FGT owed Henkels any of the retroactive premium or the deductible under the contract between Henkels and FGT.  At a settlement conference held on October 8, 1999 Henkles agreed to arbitration.  Henkles last offer to settle was for $125,000.  FGT did not make a specific offer other than to dismiss the counterclaim against Henkles.  However, FGT had the settlement judge indicate to Henkels that he could convince FGT to pay Henkles $64,000 if it would settle the case.</w:t>
      </w:r>
    </w:p>
    <w:p>
      <w:pPr>
        <w:pStyle w:val="Normal"/>
        <w:tabs>
          <w:tab w:val="left" w:pos="540" w:leader="none"/>
          <w:tab w:val="right" w:pos="10800" w:leader="none"/>
        </w:tabs>
        <w:ind w:start="540" w:end="0"/>
        <w:jc w:val="both"/>
        <w:rPr>
          <w:color w:val="000000"/>
        </w:rPr>
      </w:pPr>
      <w:r>
        <w:rPr>
          <w:color w:val="000000"/>
        </w:rPr>
      </w:r>
    </w:p>
    <w:p>
      <w:pPr>
        <w:pStyle w:val="Normal"/>
        <w:keepNext w:val="true"/>
        <w:keepLines/>
        <w:tabs>
          <w:tab w:val="left" w:pos="540" w:leader="none"/>
          <w:tab w:val="right" w:pos="10800" w:leader="none"/>
        </w:tabs>
        <w:ind w:hanging="547" w:start="547" w:end="0"/>
        <w:jc w:val="both"/>
        <w:rPr/>
      </w:pPr>
      <w:r>
        <w:rPr>
          <w:b/>
        </w:rPr>
        <w:t>8.</w:t>
        <w:tab/>
        <w:t>Hickman v. Florida Gas Transmission Company; Docket No. 77503-I, 22nd Judicial District, Washington Parish, Louisiana, at Franklinton.  On September 4, 1998, FGT removed the case to the U.S. District Court (E.D. La.) at New Orleans</w:t>
      </w:r>
      <w:r>
        <w:rPr/>
        <w:t xml:space="preserve"> (Filed August 5, 1998) (Served August 17, 1998) </w:t>
      </w:r>
      <w:r>
        <w:rPr>
          <w:i/>
        </w:rPr>
        <w:t>(Mickey Mangham—Lafayette) (Crowley)</w:t>
      </w:r>
      <w:r>
        <w:rPr/>
        <w:tab/>
      </w:r>
      <w:r>
        <w:rPr>
          <w:b/>
        </w:rPr>
        <w:t>NOT REVISED</w:t>
      </w:r>
    </w:p>
    <w:p>
      <w:pPr>
        <w:pStyle w:val="Normal"/>
        <w:numPr>
          <w:ilvl w:val="0"/>
          <w:numId w:val="20"/>
        </w:numPr>
        <w:ind w:hanging="540" w:start="540" w:end="0"/>
        <w:jc w:val="both"/>
        <w:rPr/>
      </w:pPr>
      <w:r>
        <w:rPr/>
        <w:t>CAUSE OF ACTION:  Inverse condemnation and private nuisance caused by adjacent FGT compressor station (#9).  Unstated amount requested for reduced value of property, reduced use of property, impairment of property by FGT industrial activity, noise, spillage of oil waste, smoke.</w:t>
      </w:r>
    </w:p>
    <w:p>
      <w:pPr>
        <w:pStyle w:val="Normal"/>
        <w:numPr>
          <w:ilvl w:val="0"/>
          <w:numId w:val="20"/>
        </w:numPr>
        <w:ind w:hanging="540" w:start="540" w:end="0"/>
        <w:jc w:val="both"/>
        <w:rPr/>
      </w:pPr>
      <w:r>
        <w:rPr/>
        <w:t>STATUS:  Case removed to Federal Court and assigned to Judge Duval.  Internal factual investigation underway.  Answer filed and preliminary conference held.  Exposure evaluation in the probable range of $90,000 to $110,000 based on prior settlement demand.  Mediation held July 30 was unsuccessful but left negotiations open.  FGT has now settled this matter by agreeing to purchase plaintiff's property.  Settlement documents are being drafted.  Environment assessment complete.</w:t>
      </w:r>
    </w:p>
    <w:p>
      <w:pPr>
        <w:pStyle w:val="Normal"/>
        <w:tabs>
          <w:tab w:val="left" w:pos="540" w:leader="none"/>
          <w:tab w:val="center" w:pos="5400" w:leader="none"/>
          <w:tab w:val="right" w:pos="10800" w:leader="none"/>
        </w:tabs>
        <w:rPr>
          <w:b/>
          <w:color w:val="000000"/>
        </w:rPr>
      </w:pPr>
      <w:r>
        <w:rPr>
          <w:b/>
          <w:color w:val="000000"/>
        </w:rPr>
      </w:r>
    </w:p>
    <w:p>
      <w:pPr>
        <w:pStyle w:val="Normal"/>
        <w:keepNext w:val="true"/>
        <w:tabs>
          <w:tab w:val="left" w:pos="540" w:leader="none"/>
          <w:tab w:val="right" w:pos="10800" w:leader="none"/>
        </w:tabs>
        <w:ind w:hanging="540" w:start="540" w:end="0"/>
        <w:jc w:val="both"/>
        <w:rPr/>
      </w:pPr>
      <w:r>
        <w:rPr>
          <w:b/>
          <w:color w:val="000000"/>
        </w:rPr>
        <w:t>9.</w:t>
        <w:tab/>
        <w:t>Jauma, et al v. Mejias, et al including  Florida Gas Transmission Company; No. 95-22316, 11th Judicial District Court, Dade County, FL</w:t>
      </w:r>
      <w:r>
        <w:rPr>
          <w:color w:val="000000"/>
        </w:rPr>
        <w:t xml:space="preserve"> </w:t>
      </w:r>
      <w:r>
        <w:rPr/>
        <w:t xml:space="preserve">(Filed November 15, 1995) (Served November 17, 1995) </w:t>
      </w:r>
      <w:r>
        <w:rPr>
          <w:i/>
        </w:rPr>
        <w:t xml:space="preserve">(O’Connor &amp; Meyers) (Litigation Unit) </w:t>
      </w:r>
      <w:r>
        <w:rPr>
          <w:i/>
          <w:color w:val="000000"/>
        </w:rPr>
        <w:t>(Raker)</w:t>
      </w:r>
      <w:r>
        <w:rPr>
          <w:b/>
          <w:color w:val="000000"/>
        </w:rPr>
        <w:tab/>
        <w:t>NOT REVISED</w:t>
      </w:r>
    </w:p>
    <w:p>
      <w:pPr>
        <w:pStyle w:val="Normal"/>
        <w:numPr>
          <w:ilvl w:val="0"/>
          <w:numId w:val="20"/>
        </w:numPr>
        <w:tabs>
          <w:tab w:val="left" w:pos="540" w:leader="none"/>
          <w:tab w:val="right" w:pos="10800" w:leader="none"/>
        </w:tabs>
        <w:ind w:hanging="540" w:start="540" w:end="0"/>
        <w:jc w:val="both"/>
        <w:rPr>
          <w:color w:val="000000"/>
        </w:rPr>
      </w:pPr>
      <w:r>
        <w:rPr/>
        <w:t xml:space="preserve">CAUSE OF ACTION: </w:t>
      </w:r>
      <w:r>
        <w:rPr>
          <w:color w:val="000000"/>
        </w:rPr>
        <w:t>Plaintiff (a pedestrian) was hit by defendant Mejias car and asserts personal injury caused due to plaintiff's walking in roadway to avoid flooded sidewalk allegedly resulting from FGT’s pipeline construction work in area.</w:t>
      </w:r>
    </w:p>
    <w:p>
      <w:pPr>
        <w:pStyle w:val="Normal"/>
        <w:numPr>
          <w:ilvl w:val="0"/>
          <w:numId w:val="20"/>
        </w:numPr>
        <w:tabs>
          <w:tab w:val="left" w:pos="540" w:leader="none"/>
          <w:tab w:val="right" w:pos="10800" w:leader="none"/>
        </w:tabs>
        <w:ind w:hanging="540" w:start="540" w:end="0"/>
        <w:jc w:val="both"/>
        <w:rPr/>
      </w:pPr>
      <w:r>
        <w:rPr>
          <w:color w:val="000000"/>
        </w:rPr>
        <w:t>STATUS: FGT's defense costs and potential damages are covered by contractual indemnity and insurance coverage of FGT's general contractor, A&amp;L Underground, Inc., for the construction work.  FGT made demand for defense and unconditional indemnity on A&amp;L.  FGT’s initial motion for summary judgment in Jauma was denied.  The Court felt that it is a jury question whether it is an inherently dangerous condition to de-water a trench and permit water to be pumped into a public road.  FGT filed a second motion for summary judgment on duty to warn of the open and obvious condition of the dangers of walking in the street.  FGT motion for summary judgement denied.  Trial was set for September 6, 1999.  To-date, no demand for settlement by plaintiff.  Court order mediation set for 9/6/99 however, Court proceedings stayed pending appointment of Guardian Ad Litem for Plaintiff.  A&amp;L Underground fully executed Stipulation and Order of Dismissal without Prejudice was filed with the Court.  FGT's complaint against A&amp;L Underground is now resolved.</w:t>
      </w:r>
    </w:p>
    <w:p>
      <w:pPr>
        <w:pStyle w:val="Normal"/>
        <w:tabs>
          <w:tab w:val="left" w:pos="540" w:leader="none"/>
          <w:tab w:val="right" w:pos="10800" w:leader="none"/>
        </w:tabs>
        <w:ind w:hanging="540" w:start="540" w:end="0"/>
        <w:jc w:val="both"/>
        <w:rPr>
          <w:color w:val="000000"/>
        </w:rPr>
      </w:pPr>
      <w:r>
        <w:rPr>
          <w:color w:val="000000"/>
        </w:rPr>
      </w:r>
    </w:p>
    <w:p>
      <w:pPr>
        <w:pStyle w:val="Normal"/>
        <w:keepNext w:val="true"/>
        <w:tabs>
          <w:tab w:val="left" w:pos="540" w:leader="none"/>
          <w:tab w:val="right" w:pos="10800" w:leader="none"/>
        </w:tabs>
        <w:ind w:hanging="540" w:start="540" w:end="0"/>
        <w:jc w:val="both"/>
        <w:rPr/>
      </w:pPr>
      <w:r>
        <w:rPr>
          <w:b/>
          <w:color w:val="000000"/>
        </w:rPr>
        <w:t>10.</w:t>
        <w:tab/>
        <w:t xml:space="preserve">Lauderdale Sand and Fill, Inc. and Robert Elmore v. Sunniland Pipeline Co., et al. (including FGT); No. 95-012305, 17th Judicial Circuit Court, Broward Co., FL </w:t>
      </w:r>
      <w:r>
        <w:rPr/>
        <w:t xml:space="preserve">(Filed May 9, 1996) (Served May 15, 1996) </w:t>
      </w:r>
      <w:r>
        <w:rPr>
          <w:i/>
          <w:color w:val="000000"/>
        </w:rPr>
        <w:t>(Bricklemyer, Smolker &amp; Bolves) (Raker)</w:t>
      </w:r>
      <w:r>
        <w:rPr>
          <w:b/>
          <w:color w:val="000000"/>
        </w:rPr>
        <w:tab/>
        <w:t>NOT REVISED</w:t>
      </w:r>
    </w:p>
    <w:p>
      <w:pPr>
        <w:pStyle w:val="Normal"/>
        <w:numPr>
          <w:ilvl w:val="0"/>
          <w:numId w:val="20"/>
        </w:numPr>
        <w:tabs>
          <w:tab w:val="left" w:pos="540" w:leader="none"/>
          <w:tab w:val="right" w:pos="10800" w:leader="none"/>
        </w:tabs>
        <w:ind w:hanging="540" w:start="540" w:end="0"/>
        <w:jc w:val="both"/>
        <w:rPr/>
      </w:pPr>
      <w:r>
        <w:rPr/>
        <w:t xml:space="preserve">CAUSE OF ACTION: </w:t>
      </w:r>
      <w:r>
        <w:rPr>
          <w:color w:val="000000"/>
        </w:rPr>
        <w:t>Plaintiff claims FGT constructed its 16” Port Everglades lateral outside the easement area and failed to properly place markers per October 8, 1968 easement covenants.  Plaintiff claims he entered into a bad land deal in 1986 for ownership of a five-acre parcel of land he believed was unencumbered by pipeline easements since he saw no markers in the area.</w:t>
      </w:r>
    </w:p>
    <w:p>
      <w:pPr>
        <w:pStyle w:val="Normal"/>
        <w:numPr>
          <w:ilvl w:val="0"/>
          <w:numId w:val="20"/>
        </w:numPr>
        <w:tabs>
          <w:tab w:val="left" w:pos="540" w:leader="none"/>
          <w:tab w:val="right" w:pos="10800" w:leader="none"/>
        </w:tabs>
        <w:ind w:hanging="540" w:start="540" w:end="0"/>
        <w:jc w:val="both"/>
        <w:rPr/>
      </w:pPr>
      <w:r>
        <w:rPr/>
        <w:t>STATUS:</w:t>
      </w:r>
      <w:r>
        <w:rPr>
          <w:color w:val="000000"/>
        </w:rPr>
        <w:t xml:space="preserve">  Plaintiff seeks damages jointly and severally from defendants in the amount  of $817,500 for reduction in land value of the five-acre parcel due to pipeline easements crossing the parcel.  FGT intends to file three separate motions: statute of limitations, pipeline location, and third party beneficiary and notice-related issues.   This matter is on a three-week trial docket beginning August 16, 1999.  Discovery is ongoing.  Defendant Sunniland has filed for bankruptcy. Trial continued as to FGT and Sunniland.  Proceedings against FGT will resume once Sunniland is out of bankruptcy or a stay has been listed.  Alandco moved for summary judgment which was denied.  Plaintiff's appraiser has estimated diminuation in the land value due to pipeline easements at $115,000 plus interest.  Plaintiffs punitive damage and fraud count claims were denied at the Alandco and FPL trial.  Counsel for FGT estimates that these actions reduce Plaintiff's initial demand to approximately $300,000.  Plaintiff, Elmore has moved to lift the automatic stay in the Sunniland bankruptcy in order to resume proceedings against Sunniland and FGT on the diminuation in land value claim.  Motion filed September 17, 1999.</w:t>
      </w:r>
    </w:p>
    <w:p>
      <w:pPr>
        <w:pStyle w:val="Normal"/>
        <w:tabs>
          <w:tab w:val="left" w:pos="540" w:leader="none"/>
          <w:tab w:val="right" w:pos="10800" w:leader="none"/>
        </w:tabs>
        <w:jc w:val="both"/>
        <w:rPr/>
      </w:pPr>
      <w:r>
        <w:rPr/>
      </w:r>
    </w:p>
    <w:p>
      <w:pPr>
        <w:pStyle w:val="Normal"/>
        <w:tabs>
          <w:tab w:val="clear" w:pos="540"/>
        </w:tabs>
        <w:jc w:val="both"/>
        <w:rPr>
          <w:b/>
          <w:color w:val="000000"/>
          <w:spacing w:val="-2"/>
        </w:rPr>
      </w:pPr>
      <w:r>
        <w:rPr>
          <w:b/>
          <w:color w:val="000000"/>
          <w:spacing w:val="-2"/>
        </w:rPr>
      </w:r>
    </w:p>
    <w:p>
      <w:pPr>
        <w:pStyle w:val="Normal"/>
        <w:keepNext w:val="true"/>
        <w:keepLines/>
        <w:tabs>
          <w:tab w:val="left" w:pos="540" w:leader="none"/>
          <w:tab w:val="right" w:pos="10800" w:leader="none"/>
        </w:tabs>
        <w:ind w:hanging="547" w:start="547" w:end="0"/>
        <w:jc w:val="both"/>
        <w:rPr/>
      </w:pPr>
      <w:r>
        <w:rPr>
          <w:b/>
        </w:rPr>
        <w:t>11.</w:t>
        <w:tab/>
        <w:t>Marks and Marx v. Florida Gas Transmission Company and others, 19th Judicial Circuit Court for St. Lucie County, Florida, Docket No. 99-65-CA-11</w:t>
      </w:r>
      <w:r>
        <w:rPr/>
        <w:t>.  (Filed January 26, 1999) (Served January 26, 1999</w:t>
      </w:r>
      <w:r>
        <w:rPr>
          <w:i/>
        </w:rPr>
        <w:t>)  (Outside Counsel Fowler, White)  (Kisluk/Crowley).</w:t>
      </w:r>
      <w:r>
        <w:rPr/>
        <w:tab/>
      </w:r>
      <w:r>
        <w:rPr>
          <w:b/>
        </w:rPr>
        <w:t>NOT REVISED</w:t>
      </w:r>
    </w:p>
    <w:p>
      <w:pPr>
        <w:pStyle w:val="Normal"/>
        <w:numPr>
          <w:ilvl w:val="0"/>
          <w:numId w:val="20"/>
        </w:numPr>
        <w:ind w:hanging="540" w:start="540" w:end="0"/>
        <w:jc w:val="both"/>
        <w:rPr>
          <w:rFonts w:ascii="Helv;Arial" w:hAnsi="Helv;Arial" w:cs="Helv;Arial"/>
          <w:color w:val="000000"/>
        </w:rPr>
      </w:pPr>
      <w:r>
        <w:rPr>
          <w:rFonts w:cs="Helv;Arial" w:ascii="Helv;Arial" w:hAnsi="Helv;Arial"/>
          <w:color w:val="000000"/>
        </w:rPr>
        <w:t>CAUSE OF ACTION:   Plaintiff claims permanent  and continuing injury from the dislocation of his left shoulder, which has caused him loss of income, pain and suffering, disability, medical expense and mental anguish.  Plaintiff says he was injured in St. Lucie County, Florida on June 12, 1996 while working in a ditch for a contractor of FGT,  Florida Design and Construction-Engineering, Inc.  Eugene Wells, an employee of FGT, allegedly stepped on plaintiff's hand, startling the plaintiff and causing him to dislocate his shoulder by jerking away from Wells.  Plaintiff's spouse, the second plaintiff, asserts a claim for loss of consortium.  The suit alleges negligence by FGT, Wells and the contractor, in engaging in dangerous conduct, failure to warn of hazard, failure to hire competent workers, failure to provide safe place to work, in violation of state and federal OSHA standards.</w:t>
      </w:r>
    </w:p>
    <w:p>
      <w:pPr>
        <w:pStyle w:val="Normal"/>
        <w:numPr>
          <w:ilvl w:val="0"/>
          <w:numId w:val="20"/>
        </w:numPr>
        <w:ind w:hanging="540" w:start="540" w:end="0"/>
        <w:jc w:val="both"/>
        <w:rPr/>
      </w:pPr>
      <w:r>
        <w:rPr>
          <w:rFonts w:cs="Helv;Arial" w:ascii="Helv;Arial" w:hAnsi="Helv;Arial"/>
          <w:color w:val="000000"/>
        </w:rPr>
        <w:t>STATUS:  No trial date has been set.  Considering early mediation before broad factual discovery.  Discovery discloses that Plaintiff has an inconsistent earnings history.  Plaintiff's employer must elect whether to invoke its exclusive remedy protections.</w:t>
      </w:r>
    </w:p>
    <w:p>
      <w:pPr>
        <w:pStyle w:val="Normal"/>
        <w:tabs>
          <w:tab w:val="left" w:pos="540" w:leader="none"/>
          <w:tab w:val="left" w:pos="720" w:leader="none"/>
          <w:tab w:val="right" w:pos="10800" w:leader="none"/>
        </w:tabs>
        <w:jc w:val="both"/>
        <w:rPr/>
      </w:pPr>
      <w:r>
        <w:rPr/>
      </w:r>
    </w:p>
    <w:p>
      <w:pPr>
        <w:pStyle w:val="Normal"/>
        <w:keepNext w:val="true"/>
        <w:tabs>
          <w:tab w:val="left" w:pos="540" w:leader="none"/>
          <w:tab w:val="right" w:pos="10800" w:leader="none"/>
        </w:tabs>
        <w:ind w:hanging="540" w:start="540" w:end="0"/>
        <w:jc w:val="both"/>
        <w:rPr/>
      </w:pPr>
      <w:r>
        <w:rPr>
          <w:b/>
        </w:rPr>
        <w:t>12.</w:t>
        <w:tab/>
        <w:t xml:space="preserve">Miller, Sr. Trust, et al. v. Florida Gas Transmission Company,  C-628-98 31st Judicial District Court, Jefferson Davis Parish, LA </w:t>
      </w:r>
      <w:r>
        <w:rPr>
          <w:color w:val="000000"/>
          <w:spacing w:val="-3"/>
        </w:rPr>
        <w:t xml:space="preserve">(Filed October 5, 1998) (Served October 9, 1998) </w:t>
      </w:r>
      <w:r>
        <w:rPr>
          <w:i/>
          <w:color w:val="000000"/>
          <w:spacing w:val="-3"/>
        </w:rPr>
        <w:t xml:space="preserve">(James E. Diaz) (Kyle) </w:t>
        <w:tab/>
      </w:r>
      <w:r>
        <w:rPr>
          <w:b/>
          <w:color w:val="000000"/>
          <w:spacing w:val="-3"/>
        </w:rPr>
        <w:t>NOT REVISED</w:t>
      </w:r>
    </w:p>
    <w:p>
      <w:pPr>
        <w:pStyle w:val="Normal"/>
        <w:keepNext w:val="true"/>
        <w:numPr>
          <w:ilvl w:val="0"/>
          <w:numId w:val="20"/>
        </w:numPr>
        <w:tabs>
          <w:tab w:val="left" w:pos="540" w:leader="none"/>
          <w:tab w:val="right" w:pos="10800" w:leader="none"/>
        </w:tabs>
        <w:ind w:hanging="540" w:start="540" w:end="0"/>
        <w:jc w:val="both"/>
        <w:rPr/>
      </w:pPr>
      <w:r>
        <w:rPr/>
        <w:t>CAUSE OF ACTION:  Plaintiff alleges breach of contract and trespass in connection with FGT easements.  Unspecified monetary compensation for damage to property and specific performance is the relief requested.</w:t>
      </w:r>
    </w:p>
    <w:p>
      <w:pPr>
        <w:pStyle w:val="Normal"/>
        <w:numPr>
          <w:ilvl w:val="0"/>
          <w:numId w:val="20"/>
        </w:numPr>
        <w:ind w:hanging="540" w:start="540" w:end="0"/>
        <w:jc w:val="both"/>
        <w:rPr/>
      </w:pPr>
      <w:r>
        <w:rPr/>
        <w:t>STATUS:  Pursuant to the scheduling order, when the plaintiffs have obtained cost estimates for their damages, both parties have agreed to participate in a settlement conference which will probably occur in January.  The bench trial is set for March 20, 2000.</w:t>
      </w:r>
    </w:p>
    <w:p>
      <w:pPr>
        <w:pStyle w:val="Normal"/>
        <w:jc w:val="both"/>
        <w:rPr>
          <w:b/>
        </w:rPr>
      </w:pPr>
      <w:r>
        <w:rPr>
          <w:b/>
        </w:rPr>
      </w:r>
    </w:p>
    <w:p>
      <w:pPr>
        <w:pStyle w:val="Normal"/>
        <w:keepNext w:val="true"/>
        <w:tabs>
          <w:tab w:val="left" w:pos="540" w:leader="none"/>
          <w:tab w:val="right" w:pos="10800" w:leader="none"/>
        </w:tabs>
        <w:ind w:hanging="540" w:start="540" w:end="0"/>
        <w:jc w:val="both"/>
        <w:rPr>
          <w:b/>
          <w:color w:val="000000"/>
          <w:u w:val="single"/>
        </w:rPr>
      </w:pPr>
      <w:r>
        <w:rPr>
          <w:b/>
        </w:rPr>
        <w:t>13.</w:t>
        <w:tab/>
        <w:t>Office of Pipeline Safety Final Order to Investigation of Dickinson Bay Pipeline</w:t>
      </w:r>
      <w:r>
        <w:rPr>
          <w:b/>
          <w:color w:val="000000"/>
        </w:rPr>
        <w:t xml:space="preserve"> Rupture and Assessment of Civil Penalty and Certain Corrective Actions Against FGT </w:t>
      </w:r>
      <w:r>
        <w:rPr>
          <w:i/>
          <w:color w:val="000000"/>
        </w:rPr>
        <w:t>(Raker)</w:t>
      </w:r>
      <w:r>
        <w:rPr>
          <w:b/>
          <w:color w:val="000000"/>
        </w:rPr>
        <w:tab/>
        <w:t>NOT REVISED</w:t>
      </w:r>
    </w:p>
    <w:p>
      <w:pPr>
        <w:pStyle w:val="Normal"/>
        <w:numPr>
          <w:ilvl w:val="0"/>
          <w:numId w:val="20"/>
        </w:numPr>
        <w:ind w:hanging="540" w:start="540" w:end="0"/>
        <w:jc w:val="both"/>
        <w:rPr>
          <w:color w:val="000000"/>
        </w:rPr>
      </w:pPr>
      <w:r>
        <w:rPr>
          <w:color w:val="000000"/>
        </w:rPr>
        <w:t>CAUSE OF ACTION:  The Office of Pipeline Safety of the U.S. Department of Transportation on June 10, 1997 issued a Final Order to its March 22, 1995 Notice of Proposed Violation to FGT following the May 2, 1994 FGT pipeline rupture in Dickinson Bay.</w:t>
      </w:r>
    </w:p>
    <w:p>
      <w:pPr>
        <w:pStyle w:val="Normal"/>
        <w:numPr>
          <w:ilvl w:val="0"/>
          <w:numId w:val="20"/>
        </w:numPr>
        <w:tabs>
          <w:tab w:val="clear" w:pos="540"/>
        </w:tabs>
        <w:ind w:hanging="540" w:start="540" w:end="0"/>
        <w:jc w:val="both"/>
        <w:rPr>
          <w:color w:val="000000"/>
        </w:rPr>
      </w:pPr>
      <w:r>
        <w:rPr>
          <w:color w:val="000000"/>
        </w:rPr>
        <w:t>STATUS: The Order assesses a civil penalty of $296,000 and requires certain corrective actions and an amendment of FGT's emergency response plan.  FGT filed a Petition for Reconsideration of the Order which automatically stays the payment of the civil penalty; there is no interest on the stayed penalty. At its October 1997 meeting with OPS, FGT advocated for the elimination of the civil penalty or a significant reduction to an equitable amount in light of the reasonableness of FGT's interpretation of the regulation, the absence of any clear interpretation of the scope of the regulation by OPS, and FGT's prudent action in surveying the pipeline in November 1993. OPS has indicated the mitigating evidence presented by FGT should result in a reduction of the civil penalty. FGT has completed the DOT required remedial work on all the underwater pipeline segments with insufficient cover in compliance with the requirements of the OPS Order.  The written determination by OPS on the FGT Petition is expected sometime.  No response from DOT to-date.</w:t>
      </w:r>
    </w:p>
    <w:p>
      <w:pPr>
        <w:pStyle w:val="Normal"/>
        <w:jc w:val="both"/>
        <w:rPr>
          <w:color w:val="000000"/>
        </w:rPr>
      </w:pPr>
      <w:r>
        <w:rPr>
          <w:color w:val="000000"/>
        </w:rPr>
      </w:r>
    </w:p>
    <w:p>
      <w:pPr>
        <w:pStyle w:val="Normal"/>
        <w:numPr>
          <w:ilvl w:val="0"/>
          <w:numId w:val="0"/>
        </w:numPr>
        <w:tabs>
          <w:tab w:val="clear" w:pos="540"/>
          <w:tab w:val="right" w:pos="10800" w:leader="none"/>
        </w:tabs>
        <w:ind w:hanging="540" w:start="540" w:end="0"/>
        <w:jc w:val="both"/>
        <w:rPr/>
      </w:pPr>
      <w:r>
        <w:rPr>
          <w:b/>
        </w:rPr>
        <w:t>14.</w:t>
        <w:tab/>
        <w:t xml:space="preserve">Rosendahl v. Florida Gas Transmission Company, Enron Corp., Charlie Thompson, Jeff Whippo and Cecil Walker, Cause No. 99-CA-001019 (OC), Nineteenth Judicial Circuit Court, St. Lucie County, Florida at Ft. Pierce </w:t>
      </w:r>
      <w:r>
        <w:rPr/>
        <w:t xml:space="preserve">(filed ____) (Not Yet Served) </w:t>
      </w:r>
      <w:r>
        <w:rPr>
          <w:i/>
        </w:rPr>
        <w:t>(Fowler, White) (Enron Litigation Unit - Vote) (Crowley)</w:t>
      </w:r>
      <w:r>
        <w:rPr>
          <w:b/>
        </w:rPr>
        <w:tab/>
        <w:t>NOT REVISED</w:t>
      </w:r>
    </w:p>
    <w:p>
      <w:pPr>
        <w:pStyle w:val="Normal"/>
        <w:numPr>
          <w:ilvl w:val="0"/>
          <w:numId w:val="13"/>
        </w:numPr>
        <w:tabs>
          <w:tab w:val="left" w:pos="540" w:leader="none"/>
          <w:tab w:val="right" w:pos="10800" w:leader="none"/>
        </w:tabs>
        <w:ind w:hanging="540" w:start="540" w:end="0"/>
        <w:jc w:val="both"/>
        <w:rPr/>
      </w:pPr>
      <w:r>
        <w:rPr/>
        <w:t>CAUSE OF ACTION:  Plaintiff was terminated July 10, 1997 and alleges conspiracy and wrongful termination.  Plaintiff claims that co-defendants Thompson, Whippo and Walker conspired and substituted one of the original team members who had been singled out for termination and placed the plaintiff on the list instead.  Plaintiff further claims that he was not treated equally and fairly as a result of FGT's failure to follow its progressive discipline policy.  Plaintiff seeks back pay, lost benefits, and future pay in excess of $15,000.</w:t>
      </w:r>
    </w:p>
    <w:p>
      <w:pPr>
        <w:pStyle w:val="Normal"/>
        <w:numPr>
          <w:ilvl w:val="0"/>
          <w:numId w:val="3"/>
        </w:numPr>
        <w:tabs>
          <w:tab w:val="clear" w:pos="540"/>
        </w:tabs>
        <w:ind w:hanging="540" w:start="540" w:end="0"/>
        <w:jc w:val="both"/>
        <w:rPr/>
      </w:pPr>
      <w:r>
        <w:rPr/>
        <w:t>STATUS:  Co-defendant Walker was served August 4, 1999.  Defendant,  FGT and Enron Corp. have yet to be served.  Factual investigation underway.  Answer filed on behalf of all defendants August 23, 1999.</w:t>
      </w:r>
    </w:p>
    <w:p>
      <w:pPr>
        <w:pStyle w:val="Normal"/>
        <w:ind w:hanging="540" w:start="540" w:end="0"/>
        <w:jc w:val="both"/>
        <w:rPr>
          <w:color w:val="000000"/>
        </w:rPr>
      </w:pPr>
      <w:r>
        <w:rPr>
          <w:color w:val="000000"/>
        </w:rPr>
      </w:r>
    </w:p>
    <w:p>
      <w:pPr>
        <w:pStyle w:val="Normal"/>
        <w:keepNext w:val="true"/>
        <w:keepLines/>
        <w:tabs>
          <w:tab w:val="left" w:pos="540" w:leader="none"/>
          <w:tab w:val="right" w:pos="10800" w:leader="none"/>
        </w:tabs>
        <w:ind w:hanging="547" w:start="547" w:end="0"/>
        <w:jc w:val="both"/>
        <w:rPr>
          <w:b/>
        </w:rPr>
      </w:pPr>
      <w:r>
        <w:rPr>
          <w:b/>
        </w:rPr>
        <w:t>15.</w:t>
        <w:tab/>
        <w:t xml:space="preserve">Suwannee Materials and Aggregates, Inc., and Suwannee Material Carriers, Inc., v. Florida Gas Transmission Company, Docket No. 98-284-CA, Circuit Court for the Third Judicial Circuit, Suwannee County, Fla. </w:t>
      </w:r>
      <w:r>
        <w:rPr/>
        <w:t xml:space="preserve">(Filed May 15, 1998) (Served May 18, 1998) </w:t>
      </w:r>
      <w:r>
        <w:rPr>
          <w:i/>
        </w:rPr>
        <w:t>(Bricklemyer, Smolker &amp; Bolves) (Crowley)</w:t>
      </w:r>
      <w:r>
        <w:rPr>
          <w:b/>
        </w:rPr>
        <w:tab/>
      </w:r>
      <w:r>
        <w:rPr>
          <w:b/>
          <w:spacing w:val="-3"/>
        </w:rPr>
        <w:t>NOT REVISED</w:t>
      </w:r>
    </w:p>
    <w:p>
      <w:pPr>
        <w:pStyle w:val="Normal"/>
        <w:numPr>
          <w:ilvl w:val="0"/>
          <w:numId w:val="20"/>
        </w:numPr>
        <w:ind w:hanging="540" w:start="540" w:end="0"/>
        <w:jc w:val="both"/>
        <w:rPr/>
      </w:pPr>
      <w:r>
        <w:rPr/>
        <w:t>CAUSE OF ACTION:  FGT has been sued in an inverse condemnation case in Suwannee County, Florida.  Plaintiff mining company seeks compensation for condemnation money damages of unstated amount, or an order requiring FGT to condemn part of plaintiffs land, or any order to prevent FGT from trespassing on plaintiffs land.</w:t>
      </w:r>
    </w:p>
    <w:p>
      <w:pPr>
        <w:pStyle w:val="Normal"/>
        <w:numPr>
          <w:ilvl w:val="0"/>
          <w:numId w:val="20"/>
        </w:numPr>
        <w:ind w:hanging="540" w:start="540" w:end="0"/>
        <w:jc w:val="both"/>
        <w:rPr/>
      </w:pPr>
      <w:r>
        <w:rPr/>
        <w:t xml:space="preserve">STATUS:  A motion to dismiss was filed by FGT.  The </w:t>
      </w:r>
      <w:r>
        <w:rPr>
          <w:color w:val="000000"/>
        </w:rPr>
        <w:t>Court</w:t>
      </w:r>
      <w:r>
        <w:rPr/>
        <w:t xml:space="preserve"> sustained the motion in favor of FGT as to trespass, but denied it as to condemnation.  No trial date has been set.  Time running on Dismissed Docket.</w:t>
      </w:r>
    </w:p>
    <w:p>
      <w:pPr>
        <w:pStyle w:val="Normal"/>
        <w:jc w:val="both"/>
        <w:rPr/>
      </w:pPr>
      <w:r>
        <w:rPr/>
      </w:r>
    </w:p>
    <w:p>
      <w:pPr>
        <w:pStyle w:val="Normal"/>
        <w:tabs>
          <w:tab w:val="clear" w:pos="540"/>
          <w:tab w:val="right" w:pos="10800" w:leader="none"/>
        </w:tabs>
        <w:ind w:hanging="540" w:start="540" w:end="0"/>
        <w:jc w:val="both"/>
        <w:rPr>
          <w:b/>
          <w:color w:val="000000"/>
        </w:rPr>
      </w:pPr>
      <w:r>
        <w:rPr>
          <w:b/>
          <w:color w:val="000000"/>
        </w:rPr>
        <w:t>16.</w:t>
        <w:tab/>
        <w:t>T. T. Todd Company v. Florida Gas Transmission Company Case No. 97-2163-D</w:t>
      </w:r>
    </w:p>
    <w:p>
      <w:pPr>
        <w:pStyle w:val="Normal"/>
        <w:tabs>
          <w:tab w:val="clear" w:pos="540"/>
          <w:tab w:val="right" w:pos="10800" w:leader="none"/>
        </w:tabs>
        <w:ind w:hanging="540" w:start="540" w:end="0"/>
        <w:jc w:val="both"/>
        <w:rPr>
          <w:i/>
          <w:i/>
        </w:rPr>
      </w:pPr>
      <w:r>
        <w:rPr>
          <w:b/>
          <w:color w:val="000000"/>
        </w:rPr>
        <w:tab/>
        <w:t xml:space="preserve">CA-01, First Judicial Circuit Court of Escambia County, Florida </w:t>
      </w:r>
      <w:r>
        <w:rPr>
          <w:color w:val="000000"/>
        </w:rPr>
        <w:t xml:space="preserve">(filed November 25, 1997) (Served January 14, 1998) </w:t>
      </w:r>
      <w:r>
        <w:rPr>
          <w:i/>
        </w:rPr>
        <w:t>(Bricklemyer, Smolker &amp; Bolves) (Kyle)</w:t>
      </w:r>
      <w:r>
        <w:rPr>
          <w:b/>
          <w:color w:val="000000"/>
        </w:rPr>
        <w:t xml:space="preserve"> </w:t>
        <w:tab/>
        <w:t>NOT REVISED</w:t>
      </w:r>
    </w:p>
    <w:p>
      <w:pPr>
        <w:pStyle w:val="Normal"/>
        <w:numPr>
          <w:ilvl w:val="0"/>
          <w:numId w:val="20"/>
        </w:numPr>
        <w:tabs>
          <w:tab w:val="left" w:pos="540" w:leader="none"/>
          <w:tab w:val="right" w:pos="10800" w:leader="none"/>
        </w:tabs>
        <w:ind w:hanging="540" w:start="540" w:end="0"/>
        <w:jc w:val="both"/>
        <w:rPr>
          <w:b/>
          <w:color w:val="000000"/>
        </w:rPr>
      </w:pPr>
      <w:r>
        <w:rPr>
          <w:color w:val="000000"/>
        </w:rPr>
        <w:t>CAUSE OF ACTION: FGT has been sued for damages for breach of a pipeline easement.  The petition alleges that FGT failed to fertilize, mow and lime plaintiff's property.</w:t>
      </w:r>
    </w:p>
    <w:p>
      <w:pPr>
        <w:pStyle w:val="Normal"/>
        <w:numPr>
          <w:ilvl w:val="0"/>
          <w:numId w:val="20"/>
        </w:numPr>
        <w:tabs>
          <w:tab w:val="left" w:pos="540" w:leader="none"/>
          <w:tab w:val="right" w:pos="10800" w:leader="none"/>
        </w:tabs>
        <w:ind w:hanging="540" w:start="540" w:end="0"/>
        <w:jc w:val="both"/>
        <w:rPr>
          <w:b/>
          <w:color w:val="000000"/>
        </w:rPr>
      </w:pPr>
      <w:r>
        <w:rPr>
          <w:color w:val="000000"/>
        </w:rPr>
        <w:t>STATUS:  FGT has filed an answer and sent interrogatories to the plaintiff.  the plaintiff's attorney recently withdrew from the case, and we have not received word as to new counsel.</w:t>
      </w:r>
    </w:p>
    <w:p>
      <w:pPr>
        <w:pStyle w:val="Normal"/>
        <w:tabs>
          <w:tab w:val="left" w:pos="540" w:leader="none"/>
          <w:tab w:val="right" w:pos="10800" w:leader="none"/>
        </w:tabs>
        <w:jc w:val="both"/>
        <w:rPr>
          <w:b/>
          <w:color w:val="000000"/>
        </w:rPr>
      </w:pPr>
      <w:r>
        <w:rPr>
          <w:b/>
          <w:color w:val="000000"/>
        </w:rPr>
      </w:r>
    </w:p>
    <w:p>
      <w:pPr>
        <w:pStyle w:val="Normal"/>
        <w:tabs>
          <w:tab w:val="left" w:pos="540" w:leader="none"/>
          <w:tab w:val="center" w:pos="5400" w:leader="none"/>
          <w:tab w:val="right" w:pos="10800" w:leader="none"/>
        </w:tabs>
        <w:rPr>
          <w:b/>
          <w:color w:val="000000"/>
        </w:rPr>
      </w:pPr>
      <w:r>
        <w:rPr>
          <w:b/>
          <w:color w:val="000000"/>
        </w:rPr>
      </w:r>
    </w:p>
    <w:p>
      <w:pPr>
        <w:pStyle w:val="Normal"/>
        <w:jc w:val="both"/>
        <w:rPr/>
      </w:pPr>
      <w:r>
        <w:rPr/>
      </w:r>
    </w:p>
    <w:p>
      <w:pPr>
        <w:pStyle w:val="Normal"/>
        <w:rPr/>
      </w:pPr>
      <w:r>
        <w:rPr/>
        <w:t>Jan2000.doc</w:t>
      </w:r>
    </w:p>
    <w:p>
      <w:pPr>
        <w:pStyle w:val="Normal"/>
        <w:rPr/>
      </w:pPr>
      <w:r>
        <w:rPr/>
      </w:r>
    </w:p>
    <w:p>
      <w:pPr>
        <w:pStyle w:val="Normal"/>
        <w:tabs>
          <w:tab w:val="left" w:pos="540" w:leader="none"/>
          <w:tab w:val="left" w:pos="1440" w:leader="none"/>
        </w:tabs>
        <w:rPr/>
      </w:pPr>
      <w:r>
        <w:rPr/>
        <w:t>cc:</w:t>
        <w:tab/>
        <w:t>via Lotus Notes</w:t>
      </w:r>
    </w:p>
    <w:p>
      <w:pPr>
        <w:pStyle w:val="Normal"/>
        <w:tabs>
          <w:tab w:val="left" w:pos="540" w:leader="none"/>
          <w:tab w:val="center" w:pos="5400" w:leader="none"/>
          <w:tab w:val="right" w:pos="10800" w:leader="none"/>
        </w:tabs>
        <w:rPr>
          <w:b/>
          <w:color w:val="000000"/>
        </w:rPr>
      </w:pPr>
      <w:r>
        <w:rPr>
          <w:b/>
          <w:color w:val="000000"/>
        </w:rPr>
      </w:r>
    </w:p>
    <w:p>
      <w:pPr>
        <w:sectPr>
          <w:headerReference w:type="default" r:id="rId3"/>
          <w:headerReference w:type="first" r:id="rId4"/>
          <w:footerReference w:type="default" r:id="rId5"/>
          <w:footerReference w:type="first" r:id="rId6"/>
          <w:type w:val="nextPage"/>
          <w:pgSz w:w="12240" w:h="15840"/>
          <w:pgMar w:left="720" w:right="2520" w:gutter="0" w:header="1008" w:top="1064" w:footer="360" w:bottom="1080"/>
          <w:pgNumType w:fmt="decimal"/>
          <w:formProt w:val="false"/>
          <w:titlePg/>
          <w:textDirection w:val="lrTb"/>
          <w:docGrid w:type="default" w:linePitch="360" w:charSpace="0"/>
        </w:sectPr>
      </w:pPr>
    </w:p>
    <w:p>
      <w:pPr>
        <w:pStyle w:val="Normal"/>
        <w:rPr/>
      </w:pPr>
      <w:r>
        <w:rPr/>
        <w:t>J. Ale</w:t>
      </w:r>
    </w:p>
    <w:p>
      <w:pPr>
        <w:pStyle w:val="Normal"/>
        <w:tabs>
          <w:tab w:val="left" w:pos="540" w:leader="none"/>
          <w:tab w:val="center" w:pos="5400" w:leader="none"/>
          <w:tab w:val="right" w:pos="10800" w:leader="none"/>
        </w:tabs>
        <w:rPr/>
      </w:pPr>
      <w:r>
        <w:rPr/>
        <w:t>E. Benson</w:t>
      </w:r>
    </w:p>
    <w:p>
      <w:pPr>
        <w:pStyle w:val="Normal"/>
        <w:rPr/>
      </w:pPr>
      <w:r>
        <w:rPr/>
        <w:t>C. Cheek</w:t>
      </w:r>
    </w:p>
    <w:p>
      <w:pPr>
        <w:pStyle w:val="Normal"/>
        <w:rPr/>
      </w:pPr>
      <w:r>
        <w:rPr/>
        <w:t>S. Corman</w:t>
      </w:r>
    </w:p>
    <w:p>
      <w:pPr>
        <w:pStyle w:val="Normal"/>
        <w:rPr/>
      </w:pPr>
      <w:r>
        <w:rPr/>
        <w:t>P. Crowley</w:t>
      </w:r>
    </w:p>
    <w:p>
      <w:pPr>
        <w:pStyle w:val="Normal"/>
        <w:rPr/>
      </w:pPr>
      <w:r>
        <w:rPr/>
        <w:t>B. Davis</w:t>
      </w:r>
    </w:p>
    <w:p>
      <w:pPr>
        <w:pStyle w:val="Normal"/>
        <w:rPr/>
      </w:pPr>
      <w:r>
        <w:rPr/>
        <w:t>D. Fossum</w:t>
      </w:r>
    </w:p>
    <w:p>
      <w:pPr>
        <w:pStyle w:val="Normal"/>
        <w:rPr/>
      </w:pPr>
      <w:r>
        <w:rPr/>
        <w:t>B. Gray</w:t>
      </w:r>
    </w:p>
    <w:p>
      <w:pPr>
        <w:pStyle w:val="Normal"/>
        <w:rPr/>
      </w:pPr>
      <w:r>
        <w:rPr/>
        <w:t>M. Haedicke</w:t>
      </w:r>
    </w:p>
    <w:p>
      <w:pPr>
        <w:pStyle w:val="Normal"/>
        <w:rPr/>
      </w:pPr>
      <w:r>
        <w:rPr/>
        <w:t>E. Labanowski</w:t>
      </w:r>
    </w:p>
    <w:p>
      <w:pPr>
        <w:pStyle w:val="Normal"/>
        <w:rPr/>
      </w:pPr>
      <w:r>
        <w:rPr/>
        <w:t>M. A. Long</w:t>
      </w:r>
    </w:p>
    <w:p>
      <w:pPr>
        <w:pStyle w:val="Normal"/>
        <w:rPr/>
      </w:pPr>
      <w:r>
        <w:rPr/>
        <w:t xml:space="preserve">D. McCoppin </w:t>
      </w:r>
    </w:p>
    <w:p>
      <w:pPr>
        <w:pStyle w:val="Normal"/>
        <w:rPr/>
      </w:pPr>
      <w:r>
        <w:rPr/>
        <w:t>R. Meyer</w:t>
      </w:r>
    </w:p>
    <w:p>
      <w:pPr>
        <w:pStyle w:val="Normal"/>
        <w:rPr/>
      </w:pPr>
      <w:r>
        <w:rPr/>
        <w:t>J. Murray</w:t>
      </w:r>
    </w:p>
    <w:p>
      <w:pPr>
        <w:pStyle w:val="Normal"/>
        <w:rPr/>
      </w:pPr>
      <w:r>
        <w:rPr/>
        <w:t>J. Place</w:t>
      </w:r>
    </w:p>
    <w:p>
      <w:pPr>
        <w:pStyle w:val="Normal"/>
        <w:tabs>
          <w:tab w:val="left" w:pos="540" w:leader="none"/>
          <w:tab w:val="center" w:pos="5400" w:leader="none"/>
          <w:tab w:val="right" w:pos="10800" w:leader="none"/>
        </w:tabs>
        <w:rPr/>
      </w:pPr>
      <w:r>
        <w:rPr/>
        <w:t>K. Ringblom</w:t>
      </w:r>
    </w:p>
    <w:p>
      <w:pPr>
        <w:pStyle w:val="Normal"/>
        <w:rPr/>
      </w:pPr>
      <w:r>
        <w:rPr/>
        <w:t>R. Rogers</w:t>
      </w:r>
    </w:p>
    <w:p>
      <w:pPr>
        <w:pStyle w:val="Normal"/>
        <w:rPr/>
      </w:pPr>
      <w:r>
        <w:rPr/>
        <w:t>R. Sanders</w:t>
      </w:r>
    </w:p>
    <w:p>
      <w:pPr>
        <w:pStyle w:val="Normal"/>
        <w:rPr/>
      </w:pPr>
      <w:r>
        <w:rPr/>
        <w:t>S. Sefton</w:t>
      </w:r>
    </w:p>
    <w:p>
      <w:pPr>
        <w:pStyle w:val="Normal"/>
        <w:rPr/>
      </w:pPr>
      <w:r>
        <w:rPr/>
        <w:t>T. Shelton</w:t>
      </w:r>
    </w:p>
    <w:p>
      <w:pPr>
        <w:pStyle w:val="Normal"/>
        <w:tabs>
          <w:tab w:val="left" w:pos="540" w:leader="none"/>
          <w:tab w:val="center" w:pos="5400" w:leader="none"/>
          <w:tab w:val="right" w:pos="10800" w:leader="none"/>
        </w:tabs>
        <w:rPr/>
      </w:pPr>
      <w:r>
        <w:rPr/>
        <w:t>L. Soldano</w:t>
      </w:r>
    </w:p>
    <w:p>
      <w:pPr>
        <w:pStyle w:val="Normal"/>
        <w:tabs>
          <w:tab w:val="left" w:pos="540" w:leader="none"/>
          <w:tab w:val="center" w:pos="5400" w:leader="none"/>
          <w:tab w:val="right" w:pos="10800" w:leader="none"/>
        </w:tabs>
        <w:rPr/>
      </w:pPr>
      <w:r>
        <w:rPr/>
        <w:t>R. Walls</w:t>
      </w:r>
    </w:p>
    <w:p>
      <w:pPr>
        <w:pStyle w:val="Normal"/>
        <w:tabs>
          <w:tab w:val="left" w:pos="540" w:leader="none"/>
          <w:tab w:val="center" w:pos="5400" w:leader="none"/>
          <w:tab w:val="right" w:pos="10800" w:leader="none"/>
        </w:tabs>
        <w:rPr/>
      </w:pPr>
      <w:r>
        <w:rPr/>
        <w:t>K. Mordaunt</w:t>
      </w:r>
    </w:p>
    <w:sectPr>
      <w:type w:val="continuous"/>
      <w:pgSz w:w="12240" w:h="15840"/>
      <w:pgMar w:left="720" w:right="2520" w:gutter="0" w:header="1008" w:top="1064" w:footer="360" w:bottom="1080"/>
      <w:cols w:num="3"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tabs>
        <w:tab w:val="clear" w:pos="540"/>
        <w:tab w:val="left" w:pos="1530" w:leader="none"/>
        <w:tab w:val="left" w:pos="3780" w:leader="none"/>
        <w:tab w:val="left" w:pos="5940" w:leader="none"/>
        <w:tab w:val="left" w:pos="8640" w:leader="none"/>
      </w:tabs>
      <w:ind w:end="-1800"/>
      <w:rPr>
        <w:sz w:val="16"/>
      </w:rPr>
    </w:pPr>
    <w:r>
      <w:rPr>
        <w:sz w:val="16"/>
      </w:rPr>
    </w:r>
  </w:p>
  <w:p>
    <w:pPr>
      <w:pStyle w:val="BodyTextIndent2"/>
      <w:tabs>
        <w:tab w:val="left" w:pos="540" w:leader="none"/>
        <w:tab w:val="left" w:pos="1530" w:leader="none"/>
        <w:tab w:val="left" w:pos="3780" w:leader="none"/>
        <w:tab w:val="left" w:pos="5940" w:leader="none"/>
        <w:tab w:val="left" w:pos="8640" w:leader="none"/>
      </w:tabs>
      <w:ind w:end="-1800"/>
      <w:rPr>
        <w:sz w:val="16"/>
      </w:rPr>
    </w:pPr>
    <w:r>
      <w:rPr>
        <w:sz w:val="16"/>
      </w:rPr>
    </w:r>
  </w:p>
  <w:p>
    <w:pPr>
      <w:pStyle w:val="BodyTextIndent2"/>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tabs>
        <w:tab w:val="clear" w:pos="540"/>
        <w:tab w:val="left" w:pos="1530" w:leader="none"/>
        <w:tab w:val="left" w:pos="3780" w:leader="none"/>
        <w:tab w:val="left" w:pos="5940" w:leader="none"/>
        <w:tab w:val="left" w:pos="8640" w:leader="none"/>
      </w:tabs>
      <w:ind w:end="-1800"/>
      <w:rPr>
        <w:sz w:val="16"/>
      </w:rPr>
    </w:pPr>
    <w:r>
      <w:rPr>
        <w:sz w:val="16"/>
      </w:rPr>
    </w:r>
  </w:p>
  <w:p>
    <w:pPr>
      <w:pStyle w:val="BodyTextIndent2"/>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5400" w:leader="none"/>
        <w:tab w:val="right" w:pos="8640" w:leader="none"/>
        <w:tab w:val="right" w:pos="10800" w:leader="none"/>
      </w:tabs>
      <w:jc w:val="end"/>
      <w:rPr/>
    </w:pPr>
    <w:r>
      <w:rPr/>
    </w:r>
  </w:p>
  <w:p>
    <w:pPr>
      <w:pStyle w:val="Header"/>
      <w:tabs>
        <w:tab w:val="clear" w:pos="4320"/>
        <w:tab w:val="center" w:pos="5400" w:leader="none"/>
        <w:tab w:val="right" w:pos="8640" w:leader="none"/>
        <w:tab w:val="right" w:pos="10800" w:leader="none"/>
      </w:tabs>
      <w:rPr/>
    </w:pPr>
    <w:r>
      <w:rPr/>
      <w:t>James V. Derrick, Jr.</w:t>
      <w:tab/>
      <w:t>December 30, 1999</w:t>
      <w:tab/>
      <w:tab/>
      <w:t xml:space="preserve">Page </w:t>
    </w:r>
    <w:r>
      <w:rPr/>
      <w:fldChar w:fldCharType="begin"/>
    </w:r>
    <w:r>
      <w:rPr/>
      <w:instrText xml:space="preserve"> PAGE </w:instrText>
    </w:r>
    <w:r>
      <w:rPr/>
      <w:fldChar w:fldCharType="separate"/>
    </w:r>
    <w:r>
      <w:rPr/>
      <w:t>18</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4"/>
      <w:numFmt w:val="decimal"/>
      <w:lvlText w:val="%1."/>
      <w:lvlJc w:val="start"/>
      <w:pPr>
        <w:tabs>
          <w:tab w:val="num" w:pos="540"/>
        </w:tabs>
        <w:ind w:start="540" w:hanging="540"/>
      </w:pPr>
      <w:rPr>
        <w:i w:val="false"/>
      </w:rPr>
    </w:lvl>
  </w:abstractNum>
  <w:abstractNum w:abstractNumId="20">
    <w:lvl w:ilvl="0">
      <w:numFmt w:val="bullet"/>
      <w:lvlText w:val=""/>
      <w:lvlJc w:val="start"/>
      <w:pPr>
        <w:tabs>
          <w:tab w:val="num" w:pos="360"/>
        </w:tabs>
        <w:ind w:start="360" w:hanging="360"/>
      </w:pPr>
      <w:rPr>
        <w:rFonts w:ascii="Symbol" w:hAnsi="Symbol" w:cs="Symbol" w:hint="default"/>
      </w:rPr>
    </w:lvl>
  </w:abstractNum>
  <w:abstractNum w:abstractNumId="21">
    <w:lvl w:ilvl="0">
      <w:numFmt w:val="bullet"/>
      <w:lvlText w:val=""/>
      <w:lvlJc w:val="start"/>
      <w:pPr>
        <w:tabs>
          <w:tab w:val="num" w:pos="540"/>
        </w:tabs>
        <w:ind w:start="540" w:hanging="54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numPr>
        <w:ilvl w:val="1"/>
        <w:numId w:val="1"/>
      </w:numPr>
      <w:tabs>
        <w:tab w:val="clear" w:pos="540"/>
        <w:tab w:val="left" w:pos="720" w:leader="none"/>
        <w:tab w:val="right" w:pos="10800" w:leader="none"/>
      </w:tabs>
      <w:suppressAutoHyphens w:val="true"/>
      <w:outlineLvl w:val="1"/>
    </w:pPr>
    <w:rPr>
      <w:b/>
      <w:spacing w:val="-3"/>
    </w:rPr>
  </w:style>
  <w:style w:type="paragraph" w:styleId="Heading3">
    <w:name w:val="heading 3"/>
    <w:basedOn w:val="Normal"/>
    <w:next w:val="Footer"/>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540" w:leader="none"/>
        <w:tab w:val="right" w:pos="10800" w:leader="none"/>
      </w:tabs>
      <w:ind w:hanging="540" w:start="540" w:end="0"/>
      <w:jc w:val="both"/>
      <w:outlineLvl w:val="3"/>
    </w:pPr>
    <w:rPr>
      <w:b/>
    </w:rPr>
  </w:style>
  <w:style w:type="paragraph" w:styleId="Heading5">
    <w:name w:val="heading 5"/>
    <w:basedOn w:val="Normal"/>
    <w:next w:val="Normal"/>
    <w:qFormat/>
    <w:pPr>
      <w:keepNext w:val="true"/>
      <w:numPr>
        <w:ilvl w:val="4"/>
        <w:numId w:val="1"/>
      </w:numPr>
      <w:tabs>
        <w:tab w:val="left" w:pos="540" w:leader="none"/>
        <w:tab w:val="right" w:pos="10800" w:leader="none"/>
      </w:tabs>
      <w:outlineLvl w:val="4"/>
    </w:pPr>
    <w:rPr>
      <w:b/>
      <w:u w:val="single"/>
    </w:rPr>
  </w:style>
  <w:style w:type="paragraph" w:styleId="Heading6">
    <w:name w:val="heading 6"/>
    <w:basedOn w:val="Normal"/>
    <w:next w:val="Normal"/>
    <w:qFormat/>
    <w:pPr>
      <w:keepNext w:val="true"/>
      <w:numPr>
        <w:ilvl w:val="5"/>
        <w:numId w:val="1"/>
      </w:numPr>
      <w:ind w:hanging="547" w:start="547" w:end="0"/>
      <w:outlineLvl w:val="5"/>
    </w:pPr>
    <w:rPr>
      <w:b/>
    </w:rPr>
  </w:style>
  <w:style w:type="paragraph" w:styleId="Heading7">
    <w:name w:val="heading 7"/>
    <w:basedOn w:val="Normal"/>
    <w:next w:val="Normal"/>
    <w:qFormat/>
    <w:pPr>
      <w:keepNext w:val="true"/>
      <w:numPr>
        <w:ilvl w:val="6"/>
        <w:numId w:val="1"/>
      </w:numPr>
      <w:tabs>
        <w:tab w:val="left" w:pos="540" w:leader="none"/>
        <w:tab w:val="right" w:pos="10800" w:leader="none"/>
      </w:tabs>
      <w:ind w:hanging="540" w:start="540" w:end="0"/>
      <w:jc w:val="both"/>
      <w:outlineLvl w:val="6"/>
    </w:pPr>
    <w:rPr>
      <w:b/>
      <w:u w:val="single"/>
    </w:rPr>
  </w:style>
  <w:style w:type="paragraph" w:styleId="Heading8">
    <w:name w:val="heading 8"/>
    <w:basedOn w:val="Normal"/>
    <w:next w:val="Normal"/>
    <w:qFormat/>
    <w:pPr>
      <w:keepNext w:val="true"/>
      <w:numPr>
        <w:ilvl w:val="7"/>
        <w:numId w:val="1"/>
      </w:numPr>
      <w:tabs>
        <w:tab w:val="left" w:pos="540" w:leader="none"/>
        <w:tab w:val="right" w:pos="10800" w:leader="none"/>
      </w:tabs>
      <w:ind w:hanging="540" w:start="540" w:end="0"/>
      <w:jc w:val="both"/>
      <w:outlineLvl w:val="7"/>
    </w:pPr>
    <w:rPr>
      <w:b/>
      <w:color w:val="000000"/>
      <w:u w:val="single"/>
    </w:rPr>
  </w:style>
  <w:style w:type="paragraph" w:styleId="Heading9">
    <w:name w:val="heading 9"/>
    <w:basedOn w:val="Normal"/>
    <w:next w:val="Normal"/>
    <w:qFormat/>
    <w:pPr>
      <w:keepNext w:val="true"/>
      <w:numPr>
        <w:ilvl w:val="8"/>
        <w:numId w:val="1"/>
      </w:numPr>
      <w:tabs>
        <w:tab w:val="left" w:pos="540" w:leader="none"/>
        <w:tab w:val="right" w:pos="10800" w:leader="none"/>
      </w:tabs>
      <w:ind w:hanging="540" w:start="540" w:end="0"/>
      <w:outlineLvl w:val="8"/>
    </w:pPr>
    <w:rPr>
      <w:b/>
      <w:color w:val="000000"/>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i w:val="false"/>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b/>
      <w:i w:val="false"/>
      <w:u w:val="single"/>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b/>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i w:val="false"/>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i w:val="false"/>
    </w:rPr>
  </w:style>
  <w:style w:type="character" w:styleId="WW8Num51z0">
    <w:name w:val="WW8Num51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2">
    <w:name w:val="Body Text Indent 2"/>
    <w:basedOn w:val="Normal"/>
    <w:qFormat/>
    <w:pPr>
      <w:ind w:hanging="547" w:start="547" w:end="0"/>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widowControl w:val="false"/>
      <w:tabs>
        <w:tab w:val="clear" w:pos="540"/>
        <w:tab w:val="left" w:pos="720" w:leader="none"/>
        <w:tab w:val="right" w:pos="10800" w:leader="none"/>
      </w:tabs>
      <w:jc w:val="both"/>
    </w:pPr>
    <w:rPr/>
  </w:style>
  <w:style w:type="paragraph" w:styleId="BodyTextIndent">
    <w:name w:val="Body Text Indent"/>
    <w:basedOn w:val="Normal"/>
    <w:pPr>
      <w:tabs>
        <w:tab w:val="left" w:pos="540" w:leader="none"/>
        <w:tab w:val="right" w:pos="10800" w:leader="none"/>
      </w:tabs>
      <w:ind w:hanging="540" w:start="540" w:end="0"/>
    </w:pPr>
    <w:rPr/>
  </w:style>
  <w:style w:type="paragraph" w:styleId="BodyTextIndent3">
    <w:name w:val="Body Text Indent 3"/>
    <w:basedOn w:val="Normal"/>
    <w:qFormat/>
    <w:pPr>
      <w:ind w:hanging="547" w:start="547"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1999-12-15T19:59:00Z</dcterms:created>
  <dc:creator>Jennie Ruth Waynick</dc:creator>
  <dc:description/>
  <dc:language>en-CA</dc:language>
  <cp:lastModifiedBy>ET&amp;S</cp:lastModifiedBy>
  <cp:lastPrinted>1999-12-09T10:48:00Z</cp:lastPrinted>
  <dcterms:modified xsi:type="dcterms:W3CDTF">1999-12-15T20:09:00Z</dcterms:modified>
  <cp:revision>5</cp:revision>
  <dc:subject/>
  <dc:title> </dc:title>
</cp:coreProperties>
</file>