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 E M O R A N D U M</w:t>
      </w:r>
    </w:p>
    <w:p>
      <w:pPr>
        <w:pStyle w:val="Normal"/>
        <w:rPr/>
      </w:pPr>
      <w:r>
        <w:rPr/>
      </w:r>
    </w:p>
    <w:p>
      <w:pPr>
        <w:pStyle w:val="Normal"/>
        <w:rPr/>
      </w:pPr>
      <w:r>
        <w:rPr/>
        <w:t>To: Steve Kean, Rick Shapiro</w:t>
      </w:r>
    </w:p>
    <w:p>
      <w:pPr>
        <w:pStyle w:val="Normal"/>
        <w:rPr/>
      </w:pPr>
      <w:r>
        <w:rPr/>
        <w:t>From: Scott Bolton</w:t>
      </w:r>
    </w:p>
    <w:p>
      <w:pPr>
        <w:pStyle w:val="Normal"/>
        <w:rPr/>
      </w:pPr>
      <w:r>
        <w:rPr/>
        <w:t>Date: 9/9/99</w:t>
      </w:r>
    </w:p>
    <w:p>
      <w:pPr>
        <w:pStyle w:val="Normal"/>
        <w:pBdr>
          <w:bottom w:val="single" w:sz="12" w:space="1" w:color="000000"/>
        </w:pBdr>
        <w:rPr/>
      </w:pPr>
      <w:r>
        <w:rPr/>
        <w:t>Re: Inventory of Communications Issues of Interest</w:t>
      </w:r>
    </w:p>
    <w:p>
      <w:pPr>
        <w:pStyle w:val="Normal"/>
        <w:rPr/>
      </w:pPr>
      <w:r>
        <w:rPr/>
      </w:r>
    </w:p>
    <w:p>
      <w:pPr>
        <w:pStyle w:val="Normal"/>
        <w:rPr/>
      </w:pPr>
      <w:r>
        <w:rPr/>
      </w:r>
    </w:p>
    <w:p>
      <w:pPr>
        <w:pStyle w:val="Normal"/>
        <w:rPr/>
      </w:pPr>
      <w:r>
        <w:rPr/>
        <w:t xml:space="preserve">The following is a collection of regulatory and policy issues that currently (or soon will) effect Enron Communications’ applications services and operations.  This list is by no means exhaustive, but is intended to capture a full a range of issues and topics as possible to assist in our maturing policy development. </w:t>
      </w:r>
    </w:p>
    <w:p>
      <w:pPr>
        <w:pStyle w:val="Normal"/>
        <w:rPr/>
      </w:pPr>
      <w:r>
        <w:rPr/>
      </w:r>
    </w:p>
    <w:p>
      <w:pPr>
        <w:pStyle w:val="Normal"/>
        <w:rPr/>
      </w:pPr>
      <w:r>
        <w:rPr>
          <w:b/>
          <w:i/>
        </w:rPr>
        <w:t xml:space="preserve">Issue: </w:t>
      </w:r>
      <w:r>
        <w:rPr/>
        <w:t>E-Commerce/Internet Taxation</w:t>
      </w:r>
    </w:p>
    <w:p>
      <w:pPr>
        <w:pStyle w:val="Normal"/>
        <w:rPr/>
      </w:pPr>
      <w:r>
        <w:rPr>
          <w:b/>
          <w:i/>
        </w:rPr>
        <w:t xml:space="preserve">Description: </w:t>
      </w:r>
      <w:r>
        <w:rPr/>
        <w:t>Domestic – State and Local governments would like to impose transaction fees or sales taxes on E-Commerce transactions over the Internet.  International – Some countries (particularly in Europe) already tax some E-Commerce applications and would like to extend duties to all such traffic.</w:t>
      </w:r>
    </w:p>
    <w:p>
      <w:pPr>
        <w:pStyle w:val="Normal"/>
        <w:rPr/>
      </w:pPr>
      <w:r>
        <w:rPr>
          <w:b/>
          <w:i/>
        </w:rPr>
        <w:t xml:space="preserve">Concern:  </w:t>
      </w:r>
      <w:r>
        <w:rPr/>
        <w:t>Currently the Internet in the U.S. is a virtual duty-free zone.  This factor has lead to tremendous economic growth for Internet companies.  Clumsy or overreaching taxation may stifle continued E-Commerce growth and reach of Enron services.</w:t>
      </w:r>
    </w:p>
    <w:p>
      <w:pPr>
        <w:pStyle w:val="Normal"/>
        <w:rPr/>
      </w:pPr>
      <w:r>
        <w:rPr>
          <w:b/>
          <w:i/>
        </w:rPr>
        <w:t xml:space="preserve">Authority: </w:t>
      </w:r>
      <w:r>
        <w:rPr/>
        <w:t>Domestic – Federal E-Commerce Advisory Commission, National Governor’s Association, National Council of State Legislatures, U.S. League of Cities, Congress, Internet Alliance.  International – WTO, EU, APEC.</w:t>
      </w:r>
    </w:p>
    <w:p>
      <w:pPr>
        <w:pStyle w:val="Normal"/>
        <w:rPr/>
      </w:pPr>
      <w:r>
        <w:rPr>
          <w:b/>
          <w:i/>
        </w:rPr>
        <w:t xml:space="preserve">Assistance needed: </w:t>
      </w:r>
      <w:r>
        <w:rPr/>
        <w:t>This issue is identified by Joe Hirko as ECI’s #1 priority.  Enron’s active participation in the Internet Taxation debate on all levels is encouraged.</w:t>
      </w:r>
    </w:p>
    <w:p>
      <w:pPr>
        <w:pStyle w:val="Normal"/>
        <w:rPr/>
      </w:pPr>
      <w:r>
        <w:rPr/>
      </w:r>
    </w:p>
    <w:p>
      <w:pPr>
        <w:pStyle w:val="Normal"/>
        <w:rPr/>
      </w:pPr>
      <w:r>
        <w:rPr>
          <w:b/>
          <w:i/>
        </w:rPr>
        <w:t xml:space="preserve">Issue: </w:t>
      </w:r>
      <w:r>
        <w:rPr/>
        <w:t>Universal Service Support / E-Rate Program</w:t>
      </w:r>
    </w:p>
    <w:p>
      <w:pPr>
        <w:pStyle w:val="Normal"/>
        <w:rPr/>
      </w:pPr>
      <w:r>
        <w:rPr>
          <w:b/>
          <w:i/>
        </w:rPr>
        <w:t xml:space="preserve">Description: </w:t>
      </w:r>
      <w:r>
        <w:rPr/>
        <w:t>Subsidy program for rural and high-cost basic telecom services.  The E-rate is a subsidy for Internet access in schools and libraries.  Both are assessed as a percentage of qualifying revenues from end-user services.  These are usually passed through to the subscribers.</w:t>
      </w:r>
    </w:p>
    <w:p>
      <w:pPr>
        <w:pStyle w:val="Normal"/>
        <w:rPr/>
      </w:pPr>
      <w:r>
        <w:rPr>
          <w:b/>
          <w:i/>
        </w:rPr>
        <w:t xml:space="preserve">Concern:  </w:t>
      </w:r>
      <w:r>
        <w:rPr/>
        <w:t>Due to ECI’s business plan and the architecture of the Enron Intelligent Network, these programs can take a huge financial toll if applied to ECI’s suite of services.  ECI also has limited ability to pass through costs to the end-user.</w:t>
      </w:r>
    </w:p>
    <w:p>
      <w:pPr>
        <w:pStyle w:val="Normal"/>
        <w:rPr/>
      </w:pPr>
      <w:r>
        <w:rPr>
          <w:b/>
          <w:i/>
        </w:rPr>
        <w:t xml:space="preserve">Authority: </w:t>
      </w:r>
      <w:r>
        <w:rPr/>
        <w:t>Federal Program administered by the FCC, many states also have similar programs.</w:t>
      </w:r>
    </w:p>
    <w:p>
      <w:pPr>
        <w:pStyle w:val="Normal"/>
        <w:rPr/>
      </w:pPr>
      <w:r>
        <w:rPr>
          <w:b/>
          <w:i/>
        </w:rPr>
        <w:t xml:space="preserve">Assistance needed: </w:t>
      </w:r>
      <w:r>
        <w:rPr/>
        <w:t>Enron must actively define and message its products in such a way as to avoid Universal Service scrutiny.  Since ECI’s services are advanced services, they should not be assessed fees as, or in support of, basic telecom services.  On the federal level Enron must be engaged with Congress and the FCC in determining what products and services should support Universal Service programs.  Enron will avoid most of these concerns in the states, except for multi-POP states such as Texas, California, New York, and Florida where it is possible ECI will have intrastate traffic and therefore subject to state regulation and Universal Service obligations.</w:t>
      </w:r>
    </w:p>
    <w:p>
      <w:pPr>
        <w:pStyle w:val="Normal"/>
        <w:rPr/>
      </w:pPr>
      <w:r>
        <w:rPr/>
      </w:r>
    </w:p>
    <w:p>
      <w:pPr>
        <w:pStyle w:val="Normal"/>
        <w:rPr/>
      </w:pPr>
      <w:r>
        <w:rPr>
          <w:b/>
          <w:i/>
        </w:rPr>
        <w:t xml:space="preserve">Issue: </w:t>
      </w:r>
      <w:r>
        <w:rPr/>
        <w:t>Carrier Classification</w:t>
      </w:r>
      <w:r>
        <w:rPr>
          <w:b/>
          <w:i/>
        </w:rPr>
        <w:t xml:space="preserve"> </w:t>
      </w:r>
    </w:p>
    <w:p>
      <w:pPr>
        <w:pStyle w:val="Normal"/>
        <w:rPr/>
      </w:pPr>
      <w:r>
        <w:rPr>
          <w:b/>
          <w:i/>
        </w:rPr>
        <w:t xml:space="preserve">Description: </w:t>
      </w:r>
      <w:r>
        <w:rPr/>
        <w:t>State and Federal agencies classify telecommunications providers for regulatory oversight purposes.  (Basically all facilities providers are treated like telephone companies)</w:t>
      </w:r>
    </w:p>
    <w:p>
      <w:pPr>
        <w:pStyle w:val="Normal"/>
        <w:rPr/>
      </w:pPr>
      <w:r>
        <w:rPr>
          <w:b/>
          <w:i/>
        </w:rPr>
        <w:t xml:space="preserve">Concern: </w:t>
      </w:r>
      <w:r>
        <w:rPr/>
        <w:t>Because ECI provides its suite of applications services over its own infrastructure, ECI may find its business plan and services over-regulated and impeded due to erroneous classifications.</w:t>
      </w:r>
    </w:p>
    <w:p>
      <w:pPr>
        <w:pStyle w:val="Normal"/>
        <w:rPr/>
      </w:pPr>
      <w:r>
        <w:rPr>
          <w:b/>
          <w:i/>
        </w:rPr>
        <w:t xml:space="preserve">Authority: </w:t>
      </w:r>
      <w:r>
        <w:rPr/>
        <w:t>Mainly State PUC/PSCs, FCC</w:t>
      </w:r>
    </w:p>
    <w:p>
      <w:pPr>
        <w:pStyle w:val="Normal"/>
        <w:rPr/>
      </w:pPr>
      <w:r>
        <w:rPr>
          <w:b/>
          <w:i/>
        </w:rPr>
        <w:t xml:space="preserve">Assistance needed: </w:t>
      </w:r>
      <w:r>
        <w:rPr/>
        <w:t xml:space="preserve">ECI’s approach to this has been to work within the PUC to gain relaxed regulation, but ultimately it will take legislation to reduce regulation over Internet-Protocol data networks. </w:t>
      </w:r>
    </w:p>
    <w:p>
      <w:pPr>
        <w:pStyle w:val="Normal"/>
        <w:rPr/>
      </w:pPr>
      <w:r>
        <w:rPr/>
      </w:r>
    </w:p>
    <w:p>
      <w:pPr>
        <w:pStyle w:val="Normal"/>
        <w:rPr/>
      </w:pPr>
      <w:r>
        <w:rPr>
          <w:b/>
          <w:i/>
        </w:rPr>
        <w:t>Issue:</w:t>
      </w:r>
      <w:r>
        <w:rPr>
          <w:i/>
        </w:rPr>
        <w:t xml:space="preserve"> </w:t>
      </w:r>
      <w:r>
        <w:rPr/>
        <w:t>Product Regulation</w:t>
      </w:r>
    </w:p>
    <w:p>
      <w:pPr>
        <w:pStyle w:val="Normal"/>
        <w:rPr/>
      </w:pPr>
      <w:r>
        <w:rPr>
          <w:b/>
          <w:i/>
        </w:rPr>
        <w:t>Description:</w:t>
      </w:r>
      <w:r>
        <w:rPr/>
        <w:t xml:space="preserve"> Similar to Carrier Classification, ECI will be developing products that have no current equivalents in today’s applications arena. </w:t>
      </w:r>
    </w:p>
    <w:p>
      <w:pPr>
        <w:pStyle w:val="Normal"/>
        <w:rPr/>
      </w:pPr>
      <w:r>
        <w:rPr>
          <w:b/>
          <w:i/>
        </w:rPr>
        <w:t>Concern:</w:t>
      </w:r>
      <w:r>
        <w:rPr/>
        <w:t xml:space="preserve">  ECI wants to offer services and products that are “enhanced” and therefore not subject to regulation.</w:t>
      </w:r>
    </w:p>
    <w:p>
      <w:pPr>
        <w:pStyle w:val="Normal"/>
        <w:rPr/>
      </w:pPr>
      <w:r>
        <w:rPr>
          <w:b/>
          <w:i/>
        </w:rPr>
        <w:t>Authority:</w:t>
      </w:r>
      <w:r>
        <w:rPr/>
        <w:t xml:space="preserve"> FCC and State PUC/PSCs.</w:t>
      </w:r>
    </w:p>
    <w:p>
      <w:pPr>
        <w:pStyle w:val="Normal"/>
        <w:rPr/>
      </w:pPr>
      <w:r>
        <w:rPr>
          <w:b/>
          <w:i/>
        </w:rPr>
        <w:t>Assistance Needed:</w:t>
      </w:r>
      <w:r>
        <w:rPr/>
        <w:t xml:space="preserve"> Thorough legal and regulatory review during product development.  Policy advocacy for greater deregulation of enhanced services.</w:t>
      </w:r>
    </w:p>
    <w:p>
      <w:pPr>
        <w:pStyle w:val="Normal"/>
        <w:rPr/>
      </w:pPr>
      <w:r>
        <w:rPr/>
      </w:r>
    </w:p>
    <w:p>
      <w:pPr>
        <w:pStyle w:val="Normal"/>
        <w:rPr/>
      </w:pPr>
      <w:r>
        <w:rPr>
          <w:b/>
          <w:i/>
        </w:rPr>
        <w:t>Issue:</w:t>
      </w:r>
      <w:r>
        <w:rPr/>
        <w:t xml:space="preserve"> Privacy</w:t>
      </w:r>
    </w:p>
    <w:p>
      <w:pPr>
        <w:pStyle w:val="Normal"/>
        <w:rPr/>
      </w:pPr>
      <w:r>
        <w:rPr>
          <w:b/>
          <w:i/>
        </w:rPr>
        <w:t>Description:</w:t>
      </w:r>
      <w:r>
        <w:rPr/>
        <w:t xml:space="preserve">  The Privacy issue encompasses consumer protection on the Internet, on-line privacy rights, and the ability of law enforcement to track Internet users and content.</w:t>
      </w:r>
    </w:p>
    <w:p>
      <w:pPr>
        <w:pStyle w:val="Normal"/>
        <w:rPr/>
      </w:pPr>
      <w:r>
        <w:rPr>
          <w:b/>
          <w:i/>
        </w:rPr>
        <w:t>Concern:</w:t>
      </w:r>
      <w:r>
        <w:rPr>
          <w:b/>
        </w:rPr>
        <w:t xml:space="preserve">  </w:t>
      </w:r>
      <w:r>
        <w:rPr/>
        <w:t>Major privacy regulation may impede E-Commerce growth and take away the currently successful self-regulatory approach the Internet industry has pursued.</w:t>
      </w:r>
    </w:p>
    <w:p>
      <w:pPr>
        <w:pStyle w:val="Normal"/>
        <w:rPr/>
      </w:pPr>
      <w:r>
        <w:rPr>
          <w:b/>
          <w:i/>
        </w:rPr>
        <w:t>Authority:</w:t>
      </w:r>
      <w:r>
        <w:rPr/>
        <w:t xml:space="preserve"> Congress, FTC, FCC, State Government, EU/EC, Foreign Governments</w:t>
      </w:r>
    </w:p>
    <w:p>
      <w:pPr>
        <w:pStyle w:val="Normal"/>
        <w:rPr/>
      </w:pPr>
      <w:r>
        <w:rPr>
          <w:b/>
          <w:i/>
        </w:rPr>
        <w:t>Assistance Needed:</w:t>
      </w:r>
      <w:r>
        <w:rPr/>
        <w:t xml:space="preserve"> Monitoring of the issue and collaboration with other industry partners.</w:t>
      </w:r>
    </w:p>
    <w:p>
      <w:pPr>
        <w:pStyle w:val="Normal"/>
        <w:rPr/>
      </w:pPr>
      <w:r>
        <w:rPr/>
      </w:r>
    </w:p>
    <w:p>
      <w:pPr>
        <w:pStyle w:val="Normal"/>
        <w:rPr/>
      </w:pPr>
      <w:r>
        <w:rPr>
          <w:b/>
          <w:i/>
        </w:rPr>
        <w:t>Issue:</w:t>
      </w:r>
      <w:r>
        <w:rPr/>
        <w:t xml:space="preserve"> Access to Broadband / Telecommunications Act Implementation</w:t>
      </w:r>
    </w:p>
    <w:p>
      <w:pPr>
        <w:pStyle w:val="Normal"/>
        <w:rPr/>
      </w:pPr>
      <w:r>
        <w:rPr>
          <w:b/>
          <w:i/>
        </w:rPr>
        <w:t>Description:</w:t>
      </w:r>
      <w:r>
        <w:rPr/>
        <w:t xml:space="preserve"> One of the last areas of the Telecom Act to be fulfilled is the unbundling of incumbent networks and the ability of competitive providers to supply broadband data services within the “local loop.”</w:t>
      </w:r>
    </w:p>
    <w:p>
      <w:pPr>
        <w:pStyle w:val="Normal"/>
        <w:rPr/>
      </w:pPr>
      <w:r>
        <w:rPr>
          <w:b/>
          <w:i/>
        </w:rPr>
        <w:t>Concern:</w:t>
      </w:r>
      <w:r>
        <w:rPr/>
        <w:t xml:space="preserve"> Enron benefits from diverse and competitive pathways to end-users.</w:t>
      </w:r>
    </w:p>
    <w:p>
      <w:pPr>
        <w:pStyle w:val="Normal"/>
        <w:rPr/>
      </w:pPr>
      <w:r>
        <w:rPr>
          <w:b/>
          <w:i/>
        </w:rPr>
        <w:t>Authority:</w:t>
      </w:r>
      <w:r>
        <w:rPr/>
        <w:t xml:space="preserve">  FCC, Congress – to a lesser degree State PUC/PSCs.</w:t>
      </w:r>
    </w:p>
    <w:p>
      <w:pPr>
        <w:pStyle w:val="Normal"/>
        <w:rPr/>
      </w:pPr>
      <w:r>
        <w:rPr>
          <w:b/>
          <w:i/>
        </w:rPr>
        <w:t>Assistance Needed:</w:t>
      </w:r>
      <w:r>
        <w:rPr/>
        <w:t xml:space="preserve">  Continue to support policies that encourage local competition and speed broadband services to market.  Relaxing regulation on incumbents to avoid Sec. 271 compliance should be opposed.</w:t>
      </w:r>
    </w:p>
    <w:p>
      <w:pPr>
        <w:pStyle w:val="Normal"/>
        <w:rPr/>
      </w:pPr>
      <w:r>
        <w:rPr/>
      </w:r>
    </w:p>
    <w:p>
      <w:pPr>
        <w:pStyle w:val="Normal"/>
        <w:rPr/>
      </w:pPr>
      <w:r>
        <w:rPr>
          <w:b/>
          <w:i/>
        </w:rPr>
        <w:t>Issue:</w:t>
      </w:r>
      <w:r>
        <w:rPr>
          <w:i/>
        </w:rPr>
        <w:t xml:space="preserve"> </w:t>
      </w:r>
      <w:r>
        <w:rPr/>
        <w:t>Cable Open Access</w:t>
      </w:r>
    </w:p>
    <w:p>
      <w:pPr>
        <w:pStyle w:val="Normal"/>
        <w:rPr/>
      </w:pPr>
      <w:r>
        <w:rPr>
          <w:b/>
          <w:i/>
        </w:rPr>
        <w:t>Description:</w:t>
      </w:r>
      <w:r>
        <w:rPr>
          <w:b/>
        </w:rPr>
        <w:t xml:space="preserve"> </w:t>
      </w:r>
      <w:r>
        <w:rPr/>
        <w:t xml:space="preserve"> Internet Service Providers and Local Exchange Carriers want open access requirements for cable modem platforms such as those currently required for LECs.</w:t>
      </w:r>
    </w:p>
    <w:p>
      <w:pPr>
        <w:pStyle w:val="Normal"/>
        <w:rPr/>
      </w:pPr>
      <w:r>
        <w:rPr>
          <w:b/>
          <w:i/>
        </w:rPr>
        <w:t>Concern:</w:t>
      </w:r>
      <w:r>
        <w:rPr/>
        <w:t xml:space="preserve">  As with access to broadband, fractured marketplaces are competitive marketplaces and are important to ECI.</w:t>
      </w:r>
    </w:p>
    <w:p>
      <w:pPr>
        <w:pStyle w:val="Normal"/>
        <w:rPr/>
      </w:pPr>
      <w:r>
        <w:rPr>
          <w:b/>
          <w:i/>
        </w:rPr>
        <w:t>Authority:</w:t>
      </w:r>
      <w:r>
        <w:rPr/>
        <w:t xml:space="preserve"> FCC, Congress, PUC/PSCs, cable franchising authorities.</w:t>
      </w:r>
    </w:p>
    <w:p>
      <w:pPr>
        <w:pStyle w:val="Normal"/>
        <w:rPr/>
      </w:pPr>
      <w:r>
        <w:rPr/>
        <w:t>Assistance Needed: Continued monitoring of issue and subtle support for open access policies.</w:t>
      </w:r>
    </w:p>
    <w:p>
      <w:pPr>
        <w:pStyle w:val="Normal"/>
        <w:rPr/>
      </w:pPr>
      <w:r>
        <w:rPr/>
      </w:r>
    </w:p>
    <w:p>
      <w:pPr>
        <w:pStyle w:val="Normal"/>
        <w:rPr/>
      </w:pPr>
      <w:r>
        <w:rPr>
          <w:b/>
          <w:i/>
        </w:rPr>
        <w:t>Issue:</w:t>
      </w:r>
      <w:r>
        <w:rPr/>
        <w:t xml:space="preserve"> On-line Content Regulation</w:t>
      </w:r>
    </w:p>
    <w:p>
      <w:pPr>
        <w:pStyle w:val="Normal"/>
        <w:rPr/>
      </w:pPr>
      <w:r>
        <w:rPr>
          <w:b/>
          <w:i/>
        </w:rPr>
        <w:t>Description:</w:t>
      </w:r>
      <w:r>
        <w:rPr/>
        <w:t xml:space="preserve">  Congress and State Legislatures are debating and passing laws to govern obscene or pornographic content on the Internet.</w:t>
      </w:r>
    </w:p>
    <w:p>
      <w:pPr>
        <w:pStyle w:val="Normal"/>
        <w:rPr/>
      </w:pPr>
      <w:r>
        <w:rPr>
          <w:b/>
          <w:i/>
        </w:rPr>
        <w:t>Concern:</w:t>
      </w:r>
      <w:r>
        <w:rPr/>
        <w:t xml:space="preserve">  While ECI does not intend to carry pornographic content over its network, speech controls and image regulation could pose liability concerns.</w:t>
      </w:r>
    </w:p>
    <w:p>
      <w:pPr>
        <w:pStyle w:val="Normal"/>
        <w:rPr/>
      </w:pPr>
      <w:r>
        <w:rPr>
          <w:b/>
          <w:i/>
        </w:rPr>
        <w:t>Authority:</w:t>
      </w:r>
      <w:r>
        <w:rPr/>
        <w:t xml:space="preserve"> see above</w:t>
      </w:r>
    </w:p>
    <w:p>
      <w:pPr>
        <w:pStyle w:val="Normal"/>
        <w:rPr/>
      </w:pPr>
      <w:r>
        <w:rPr>
          <w:b/>
          <w:i/>
        </w:rPr>
        <w:t>Assistance Needed</w:t>
      </w:r>
      <w:r>
        <w:rPr/>
        <w:t xml:space="preserve">: This is mainly a political risk management issue for Enron.  In cases where onerous legislation or regulation is proposed, we would likely coalition with other groups.  </w:t>
      </w:r>
    </w:p>
    <w:p>
      <w:pPr>
        <w:pStyle w:val="Normal"/>
        <w:rPr/>
      </w:pPr>
      <w:r>
        <w:rPr/>
      </w:r>
    </w:p>
    <w:p>
      <w:pPr>
        <w:pStyle w:val="Normal"/>
        <w:rPr/>
      </w:pPr>
      <w:r>
        <w:rPr>
          <w:b/>
          <w:i/>
        </w:rPr>
        <w:t>Issue:</w:t>
      </w:r>
      <w:r>
        <w:rPr/>
        <w:t xml:space="preserve"> Public Rights-of-Way Regulation</w:t>
      </w:r>
    </w:p>
    <w:p>
      <w:pPr>
        <w:pStyle w:val="Normal"/>
        <w:rPr/>
      </w:pPr>
      <w:r>
        <w:rPr>
          <w:b/>
          <w:i/>
        </w:rPr>
        <w:t>Description:</w:t>
      </w:r>
      <w:r>
        <w:rPr/>
        <w:t xml:space="preserve"> States and local governments manage and assess fees for occupation of public ROW.</w:t>
      </w:r>
    </w:p>
    <w:p>
      <w:pPr>
        <w:pStyle w:val="Normal"/>
        <w:rPr/>
      </w:pPr>
      <w:r>
        <w:rPr>
          <w:b/>
          <w:i/>
        </w:rPr>
        <w:t>Concern:</w:t>
      </w:r>
      <w:r>
        <w:rPr/>
        <w:t xml:space="preserve"> Some governments abuse their management authority and challenge the Telecom Act for access.  While ECI’s building program will slow, there is still concern over reasonable access to public ROW.</w:t>
      </w:r>
    </w:p>
    <w:p>
      <w:pPr>
        <w:pStyle w:val="Normal"/>
        <w:rPr/>
      </w:pPr>
      <w:r>
        <w:rPr>
          <w:b/>
          <w:i/>
        </w:rPr>
        <w:t>Authority</w:t>
      </w:r>
      <w:r>
        <w:rPr/>
        <w:t>: Mostly cities and counties.  Some states have set uniform encroachment policies.</w:t>
      </w:r>
    </w:p>
    <w:p>
      <w:pPr>
        <w:pStyle w:val="Normal"/>
        <w:rPr/>
      </w:pPr>
      <w:r>
        <w:rPr>
          <w:b/>
          <w:i/>
        </w:rPr>
        <w:t xml:space="preserve">Assistance Needed: </w:t>
      </w:r>
      <w:r>
        <w:rPr/>
        <w:t xml:space="preserve"> Close monitoring of state legislative efforts on this issue and monitoring of key ECI cities.  Direct lobbying and legal intervention is often needed.</w:t>
      </w:r>
    </w:p>
    <w:p>
      <w:pPr>
        <w:pStyle w:val="Normal"/>
        <w:rPr/>
      </w:pPr>
      <w:r>
        <w:rPr/>
      </w:r>
    </w:p>
    <w:p>
      <w:pPr>
        <w:pStyle w:val="Normal"/>
        <w:rPr/>
      </w:pPr>
      <w:r>
        <w:rPr>
          <w:b/>
          <w:i/>
        </w:rPr>
        <w:t>Issue:</w:t>
      </w:r>
      <w:r>
        <w:rPr/>
        <w:t xml:space="preserve"> Condemnation Authority</w:t>
      </w:r>
    </w:p>
    <w:p>
      <w:pPr>
        <w:pStyle w:val="Normal"/>
        <w:rPr/>
      </w:pPr>
      <w:r>
        <w:rPr>
          <w:b/>
          <w:i/>
        </w:rPr>
        <w:t>Description:</w:t>
      </w:r>
      <w:r>
        <w:rPr/>
        <w:t xml:space="preserve"> Condemnation authority varies from state to state.  Some allow private enterprises to initiate condemnation proceedings over encroachment impasses while others require the project to be a public utility or common carrier.</w:t>
      </w:r>
    </w:p>
    <w:p>
      <w:pPr>
        <w:pStyle w:val="Normal"/>
        <w:rPr/>
      </w:pPr>
      <w:r>
        <w:rPr>
          <w:b/>
          <w:i/>
        </w:rPr>
        <w:t>Concern:</w:t>
      </w:r>
      <w:r>
        <w:rPr/>
        <w:t xml:space="preserve"> As with ROW regulation, the ability to condemn is an important tool for expanding our network.</w:t>
      </w:r>
    </w:p>
    <w:p>
      <w:pPr>
        <w:pStyle w:val="Normal"/>
        <w:rPr/>
      </w:pPr>
      <w:r>
        <w:rPr>
          <w:b/>
          <w:i/>
        </w:rPr>
        <w:t xml:space="preserve">Authority: </w:t>
      </w:r>
      <w:r>
        <w:rPr/>
        <w:t>State legislatures</w:t>
      </w:r>
    </w:p>
    <w:p>
      <w:pPr>
        <w:pStyle w:val="Normal"/>
        <w:rPr/>
      </w:pPr>
      <w:r>
        <w:rPr>
          <w:b/>
          <w:i/>
        </w:rPr>
        <w:t xml:space="preserve">Assistance Needed: </w:t>
      </w:r>
      <w:r>
        <w:rPr/>
        <w:t>Monitoring of key legislatures/possible advocacy.</w:t>
      </w:r>
    </w:p>
    <w:p>
      <w:pPr>
        <w:pStyle w:val="Normal"/>
        <w:rPr/>
      </w:pPr>
      <w:r>
        <w:rPr/>
      </w:r>
    </w:p>
    <w:p>
      <w:pPr>
        <w:pStyle w:val="Normal"/>
        <w:rPr/>
      </w:pPr>
      <w:r>
        <w:rPr/>
      </w:r>
    </w:p>
    <w:p>
      <w:pPr>
        <w:pStyle w:val="Normal"/>
        <w:rPr/>
      </w:pPr>
      <w:r>
        <w:rPr>
          <w:b/>
          <w:i/>
        </w:rPr>
        <w:t>Issue:</w:t>
      </w:r>
      <w:r>
        <w:rPr/>
        <w:t xml:space="preserve"> EU Legal Liability</w:t>
      </w:r>
    </w:p>
    <w:p>
      <w:pPr>
        <w:pStyle w:val="Normal"/>
        <w:rPr/>
      </w:pPr>
      <w:r>
        <w:rPr>
          <w:b/>
          <w:i/>
        </w:rPr>
        <w:t>Description:</w:t>
      </w:r>
      <w:r>
        <w:rPr/>
        <w:t xml:space="preserve">  The EU is considering a “country-of-destination” policy with regard to consumer litigation over e-commerce disputes.</w:t>
      </w:r>
    </w:p>
    <w:p>
      <w:pPr>
        <w:pStyle w:val="Normal"/>
        <w:rPr/>
      </w:pPr>
      <w:r>
        <w:rPr>
          <w:b/>
          <w:i/>
        </w:rPr>
        <w:t>Concern:</w:t>
      </w:r>
      <w:r>
        <w:rPr/>
        <w:t xml:space="preserve">  The proposed policy would require any e-business that has content on a server in an EU country to be compliant with all 15 member nations’ consumer protection laws and possibly face litigation in any members’ venue, even if the company had not marketed to that country.</w:t>
      </w:r>
    </w:p>
    <w:p>
      <w:pPr>
        <w:pStyle w:val="Normal"/>
        <w:rPr/>
      </w:pPr>
      <w:r>
        <w:rPr>
          <w:b/>
          <w:i/>
        </w:rPr>
        <w:t>Authority:</w:t>
      </w:r>
      <w:r>
        <w:rPr/>
        <w:t xml:space="preserve"> EU, Member countries’ governments, USTR, WTO</w:t>
      </w:r>
    </w:p>
    <w:p>
      <w:pPr>
        <w:pStyle w:val="Normal"/>
        <w:rPr/>
      </w:pPr>
      <w:r>
        <w:rPr>
          <w:b/>
          <w:i/>
        </w:rPr>
        <w:t>Assistance Needed:</w:t>
      </w:r>
      <w:r>
        <w:rPr/>
        <w:t xml:space="preserve"> Enron should continue to highlight the problems of over-regulation of the Internet and promote the U.S. approach to e-commerce.</w:t>
      </w:r>
    </w:p>
    <w:p>
      <w:pPr>
        <w:pStyle w:val="Normal"/>
        <w:rPr/>
      </w:pPr>
      <w:r>
        <w:rPr/>
      </w:r>
    </w:p>
    <w:p>
      <w:pPr>
        <w:pStyle w:val="Normal"/>
        <w:rPr/>
      </w:pPr>
      <w:r>
        <w:rPr>
          <w:b/>
          <w:i/>
        </w:rPr>
        <w:t>Issue:</w:t>
      </w:r>
      <w:r>
        <w:rPr/>
        <w:t xml:space="preserve">  Foreign Operational Licensing</w:t>
      </w:r>
    </w:p>
    <w:p>
      <w:pPr>
        <w:pStyle w:val="Normal"/>
        <w:rPr/>
      </w:pPr>
      <w:r>
        <w:rPr>
          <w:b/>
          <w:i/>
        </w:rPr>
        <w:t>Description</w:t>
      </w:r>
      <w:r>
        <w:rPr/>
        <w:t xml:space="preserve">: Foreign Telecom regulators fundamentally regulate communications differently than in the U.S. by requiring facilities licenses. </w:t>
      </w:r>
    </w:p>
    <w:p>
      <w:pPr>
        <w:pStyle w:val="Normal"/>
        <w:rPr/>
      </w:pPr>
      <w:r>
        <w:rPr>
          <w:b/>
          <w:i/>
        </w:rPr>
        <w:t>Concern:</w:t>
      </w:r>
      <w:r>
        <w:rPr/>
        <w:t xml:space="preserve">  Regulators who do not understand ECI’s service offerings may impede speed to market and generate additional operating costs.</w:t>
      </w:r>
    </w:p>
    <w:p>
      <w:pPr>
        <w:pStyle w:val="Normal"/>
        <w:rPr/>
      </w:pPr>
      <w:r>
        <w:rPr>
          <w:b/>
          <w:i/>
        </w:rPr>
        <w:t>Authority:</w:t>
      </w:r>
      <w:r>
        <w:rPr/>
        <w:t xml:space="preserve">  Foreign governments</w:t>
      </w:r>
    </w:p>
    <w:p>
      <w:pPr>
        <w:pStyle w:val="Normal"/>
        <w:rPr/>
      </w:pPr>
      <w:r>
        <w:rPr>
          <w:b/>
          <w:i/>
        </w:rPr>
        <w:t>Assistance Needed:</w:t>
      </w:r>
      <w:r>
        <w:rPr/>
        <w:t xml:space="preserve"> Develop close relationships between Legal and Regulatory Affairs to navigate various regulatory bodies.  Inform Business Development team of regulatory hurdles and project accurate approval times.</w:t>
      </w:r>
    </w:p>
    <w:p>
      <w:pPr>
        <w:pStyle w:val="Normal"/>
        <w:rPr>
          <w:rFonts w:ascii="Verdana" w:hAnsi="Verdana" w:cs="Verdana"/>
          <w:color w:val="000000"/>
          <w:lang w:eastAsia="en-US"/>
        </w:rPr>
      </w:pPr>
      <w:r>
        <w:rPr>
          <w:rFonts w:cs="Verdana" w:ascii="Verdana" w:hAnsi="Verdana"/>
          <w:color w:val="000000"/>
          <w:lang w:eastAsia="en-US"/>
        </w:rPr>
      </w:r>
    </w:p>
    <w:p>
      <w:pPr>
        <w:pStyle w:val="Normal"/>
        <w:rPr>
          <w:rFonts w:ascii="Verdana" w:hAnsi="Verdana" w:cs="Verdana"/>
          <w:color w:val="000000"/>
          <w:lang w:eastAsia="en-US"/>
        </w:rPr>
      </w:pPr>
      <w:r>
        <w:rPr>
          <w:rFonts w:cs="Verdana" w:ascii="Verdana" w:hAnsi="Verdana"/>
          <w:color w:val="000000"/>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 w:name="AvantGarde">
    <w:charset w:val="00" w:characterSet="windows-1252"/>
    <w:family w:val="swiss"/>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eorgia" w:hAnsi="Georgia" w:eastAsia="Times New Roman" w:cs="Georgi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vantGarde" w:hAnsi="AvantGarde" w:cs="AvantGarde"/>
      <w:b/>
      <w:sz w:val="5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1999-09-08T13:49:00Z</dcterms:created>
  <dc:creator>scott_bolton</dc:creator>
  <dc:description/>
  <dc:language>en-CA</dc:language>
  <cp:lastModifiedBy>scott_bolton</cp:lastModifiedBy>
  <dcterms:modified xsi:type="dcterms:W3CDTF">1999-09-14T17:40:00Z</dcterms:modified>
  <cp:revision>5</cp:revision>
  <dc:subject/>
  <dc:title>M E M O R A N D U M</dc:title>
</cp:coreProperties>
</file>