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21.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rFonts w:ascii="Times New Roman" w:hAnsi="Times New Roman" w:cs="Times New Roman"/>
          <w:b/>
          <w:sz w:val="22"/>
        </w:rPr>
      </w:pPr>
      <w:r>
        <w:rPr>
          <w:rFonts w:cs="Times New Roman" w:ascii="Times New Roman" w:hAnsi="Times New Roman"/>
          <w:b/>
          <w:sz w:val="22"/>
        </w:rPr>
        <w:t>ISDA EXHIBITS DOCUMENT</w:t>
      </w:r>
    </w:p>
    <w:p>
      <w:pPr>
        <w:pStyle w:val="Normal"/>
        <w:widowControl/>
        <w:jc w:val="end"/>
        <w:rPr>
          <w:rFonts w:ascii="Times New Roman" w:hAnsi="Times New Roman" w:cs="Times New Roman"/>
          <w:b/>
          <w:sz w:val="22"/>
          <w:u w:val="single"/>
        </w:rPr>
      </w:pPr>
      <w:r>
        <w:rPr>
          <w:rFonts w:cs="Times New Roman" w:ascii="Times New Roman" w:hAnsi="Times New Roman"/>
          <w:b/>
          <w:sz w:val="22"/>
          <w:u w:val="single"/>
        </w:rPr>
        <w:t>DRAFT OF 08/17/99</w:t>
      </w:r>
    </w:p>
    <w:p>
      <w:pPr>
        <w:pStyle w:val="Normal"/>
        <w:widowControl/>
        <w:jc w:val="center"/>
        <w:rPr>
          <w:rFonts w:ascii="Times New Roman" w:hAnsi="Times New Roman" w:cs="Times New Roman"/>
          <w:b/>
          <w:sz w:val="22"/>
          <w:u w:val="single"/>
        </w:rPr>
      </w:pPr>
      <w:r>
        <w:rPr>
          <w:rFonts w:cs="Times New Roman" w:ascii="Times New Roman" w:hAnsi="Times New Roman"/>
          <w:b/>
          <w:sz w:val="22"/>
          <w:u w:val="single"/>
        </w:rPr>
      </w:r>
    </w:p>
    <w:p>
      <w:pPr>
        <w:pStyle w:val="Normal"/>
        <w:widowControl/>
        <w:jc w:val="center"/>
        <w:rPr>
          <w:rFonts w:ascii="Times New Roman" w:hAnsi="Times New Roman" w:cs="Times New Roman"/>
          <w:b/>
          <w:sz w:val="22"/>
          <w:u w:val="single"/>
        </w:rPr>
      </w:pPr>
      <w:r>
        <w:rPr>
          <w:rFonts w:cs="Times New Roman" w:ascii="Times New Roman" w:hAnsi="Times New Roman"/>
          <w:b/>
          <w:sz w:val="22"/>
          <w:u w:val="single"/>
        </w:rPr>
        <w:t>PARAGRAPH 13</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ISDA 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rFonts w:ascii="Times New Roman" w:hAnsi="Times New Roman" w:cs="Times New Roman"/>
                <w:b/>
                <w:color w:val="000000"/>
                <w:sz w:val="22"/>
              </w:rPr>
            </w:pPr>
            <w:r>
              <w:rPr>
                <w:rFonts w:cs="Times New Roman" w:ascii="Times New Roman" w:hAnsi="Times New Roman"/>
                <w:b/>
                <w:color w:val="000000"/>
                <w:sz w:val="22"/>
              </w:rPr>
              <w:t>_____________________________________, a _____________ organized under the law of the ____________ of ________ ("Party B")</w:t>
            </w:r>
          </w:p>
        </w:tc>
      </w:tr>
    </w:tbl>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widowControl/>
        <w:ind w:hanging="360"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widowControl/>
        <w:ind w:start="63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widowContro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will mean the higher of (i) the amount calculated as provided in the definition of that term in Paragraph 3 and (ii) the sum of the Pledgor’s Independent Amounts.</w:t>
      </w:r>
      <w:r>
        <w:rPr>
          <w:rStyle w:val="FootnoteCharacters"/>
          <w:rStyle w:val="FootnoteReference"/>
          <w:rFonts w:cs="Times New Roman" w:ascii="Times New Roman" w:hAnsi="Times New Roman"/>
          <w:color w:val="FF0000"/>
          <w:sz w:val="22"/>
        </w:rPr>
        <w:footnoteReference w:id="2"/>
      </w:r>
      <w:r>
        <w:rPr>
          <w:rFonts w:cs="Times New Roman" w:ascii="Times New Roman" w:hAnsi="Times New Roman"/>
          <w:color w:val="FF0000"/>
          <w:sz w:val="22"/>
        </w:rPr>
        <w: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(“Government Obligations”)</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widowControl/>
              <w:rPr>
                <w:rFonts w:ascii="Times New Roman" w:hAnsi="Times New Roman" w:cs="Times New Roman"/>
                <w:sz w:val="22"/>
              </w:rPr>
            </w:pPr>
            <w:r>
              <w:rPr>
                <w:rFonts w:cs="Times New Roman" w:ascii="Times New Roman" w:hAnsi="Times New Roman"/>
                <w:sz w:val="22"/>
              </w:rPr>
              <w:t xml:space="preserve">100% </w:t>
            </w:r>
            <w:r>
              <w:rPr>
                <w:rFonts w:cs="Times New Roman" w:ascii="Times New Roman" w:hAnsi="Times New Roman"/>
                <w:color w:val="FF0000"/>
                <w:sz w:val="22"/>
              </w:rPr>
              <w:t>[</w:t>
            </w:r>
            <w:r>
              <w:rPr>
                <w:rFonts w:cs="Times New Roman" w:ascii="Times New Roman" w:hAnsi="Times New Roman"/>
                <w:sz w:val="22"/>
              </w:rPr>
              <w:t>unless either (i) a Letter of Credit Default shall apply with respect to such Letter of Credit or (ii) twenty (20) or fewer Local Business Days remain prior to the expiration of such Letter of Credit, in which case the Valuation Percentage shall be 0.</w:t>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3"/>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r>
        <w:rPr>
          <w:rStyle w:val="FootnoteCharacters"/>
          <w:rStyle w:val="FootnoteReference"/>
          <w:rFonts w:cs="Times New Roman" w:ascii="Times New Roman" w:hAnsi="Times New Roman"/>
          <w:color w:val="FF0000"/>
          <w:sz w:val="22"/>
        </w:rPr>
        <w:footnoteReference w:id="4"/>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t xml:space="preserve">(B)  </w:t>
      </w:r>
      <w:r>
        <w:rPr>
          <w:rFonts w:cs="Times New Roman" w:ascii="Times New Roman" w:hAnsi="Times New Roman"/>
          <w:color w:val="FF0000"/>
          <w:sz w:val="22"/>
        </w:rPr>
        <w:t>[</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rFonts w:cs="Times New Roman" w:ascii="Times New Roman" w:hAnsi="Times New Roman"/>
          <w:color w:val="FF0000"/>
          <w:sz w:val="22"/>
        </w:rPr>
        <w:t>]</w:t>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start="1080" w:end="0"/>
        <w:jc w:val="both"/>
        <w:rPr/>
      </w:pPr>
      <w:r>
        <w:rPr>
          <w:rFonts w:cs="Times New Roman" w:ascii="Times New Roman" w:hAnsi="Times New Roman"/>
          <w:color w:val="FF0000"/>
          <w:sz w:val="22"/>
        </w:rPr>
        <w:t>[</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a party (a) the amount set forth opposite the lowest Credit Rating for the party (or </w:t>
      </w:r>
      <w:r>
        <w:rPr>
          <w:rFonts w:cs="Times New Roman" w:ascii="Times New Roman" w:hAnsi="Times New Roman"/>
          <w:color w:val="FF0000"/>
          <w:sz w:val="22"/>
        </w:rPr>
        <w:t>[</w:t>
      </w:r>
      <w:r>
        <w:rPr>
          <w:rFonts w:cs="Times New Roman" w:ascii="Times New Roman" w:hAnsi="Times New Roman"/>
          <w:color w:val="000000"/>
          <w:sz w:val="22"/>
        </w:rPr>
        <w:t>in the case of Party B, ____________ and</w:t>
      </w:r>
      <w:r>
        <w:rPr>
          <w:rFonts w:cs="Times New Roman" w:ascii="Times New Roman" w:hAnsi="Times New Roman"/>
          <w:color w:val="FF0000"/>
          <w:sz w:val="22"/>
        </w:rPr>
        <w:t>]</w:t>
      </w:r>
      <w:r>
        <w:rPr>
          <w:rFonts w:cs="Times New Roman" w:ascii="Times New Roman" w:hAnsi="Times New Roman"/>
          <w:color w:val="000000"/>
          <w:sz w:val="22"/>
        </w:rPr>
        <w:t xml:space="preserve"> in the case of Party A, Enron Corp.)</w:t>
      </w:r>
      <w:r>
        <w:rPr>
          <w:rStyle w:val="FootnoteCharacters"/>
          <w:rStyle w:val="FootnoteReference"/>
          <w:rFonts w:cs="Times New Roman" w:ascii="Times New Roman" w:hAnsi="Times New Roman"/>
          <w:color w:val="FF0000"/>
          <w:sz w:val="22"/>
        </w:rPr>
        <w:footnoteReference w:id="5"/>
      </w:r>
      <w:r>
        <w:rPr>
          <w:rFonts w:cs="Times New Roman" w:ascii="Times New Roman" w:hAnsi="Times New Roman"/>
          <w:color w:val="000000"/>
          <w:sz w:val="22"/>
        </w:rPr>
        <w:t xml:space="preserve"> on the relevant date of determination; or (b) zero if on the relevant date of determination (i) the entity referred to in clause (a) above does not have a Credit Rating from </w:t>
      </w:r>
      <w:r>
        <w:rPr>
          <w:rFonts w:cs="Times New Roman" w:ascii="Times New Roman" w:hAnsi="Times New Roman"/>
          <w:color w:val="FF0000"/>
          <w:sz w:val="22"/>
        </w:rPr>
        <w:t>[</w:t>
      </w:r>
      <w:r>
        <w:rPr>
          <w:rFonts w:cs="Times New Roman" w:ascii="Times New Roman" w:hAnsi="Times New Roman"/>
          <w:color w:val="000000"/>
          <w:sz w:val="22"/>
        </w:rPr>
        <w:t>either S&amp;P or Moody's</w:t>
      </w:r>
      <w:r>
        <w:rPr>
          <w:rStyle w:val="FootnoteCharacters"/>
          <w:rStyle w:val="FootnoteReference"/>
          <w:color w:val="FF0000"/>
        </w:rPr>
        <w:footnoteReference w:id="6"/>
      </w:r>
      <w:r>
        <w:rPr>
          <w:rFonts w:cs="Times New Roman" w:ascii="Times New Roman" w:hAnsi="Times New Roman"/>
          <w:color w:val="FF0000"/>
          <w:sz w:val="22"/>
        </w:rPr>
        <w:t>]</w:t>
      </w:r>
      <w:r>
        <w:rPr>
          <w:rFonts w:cs="Times New Roman" w:ascii="Times New Roman" w:hAnsi="Times New Roman"/>
          <w:color w:val="000000"/>
          <w:sz w:val="22"/>
        </w:rPr>
        <w:t>, or (ii) an Event of Default or Potential Event of Default with respect to such party has occurred and is continuing:</w:t>
      </w:r>
    </w:p>
    <w:p>
      <w:pPr>
        <w:pStyle w:val="Normal"/>
        <w:widowControl/>
        <w:ind w:hanging="720" w:start="2160" w:end="0"/>
        <w:jc w:val="both"/>
        <w:rPr>
          <w:rFonts w:ascii="Times New Roman" w:hAnsi="Times New Roman" w:cs="Times New Roman"/>
          <w:color w:val="000000"/>
          <w:sz w:val="22"/>
        </w:rPr>
      </w:pPr>
      <w:r>
        <w:rPr>
          <w:rFonts w:cs="Times New Roman" w:ascii="Times New Roman" w:hAnsi="Times New Roman"/>
          <w:color w:val="000000"/>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BodyTextIndent2"/>
              <w:rPr/>
            </w:pPr>
            <w:r>
              <w:rPr/>
              <w:t>S&amp;P CREDIT RATING</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2479" w:type="dxa"/>
            <w:tcBorders/>
          </w:tcPr>
          <w:p>
            <w:pPr>
              <w:pStyle w:val="Normal"/>
              <w:widowContro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(or above)</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Aa2 (or above)</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to A-</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Aa3 to 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 and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Baa1 and Baa2</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$ 0</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Below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Below Baa3</w:t>
            </w:r>
            <w:r>
              <w:rPr>
                <w:rFonts w:cs="Times New Roman" w:ascii="Times New Roman" w:hAnsi="Times New Roman"/>
                <w:color w:val="FF0000"/>
                <w:sz w:val="22"/>
              </w:rPr>
              <w:t>]</w:t>
            </w:r>
          </w:p>
        </w:tc>
      </w:tr>
    </w:tbl>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w:t>
      </w:r>
      <w:r>
        <w:rPr>
          <w:rFonts w:cs="Times New Roman" w:ascii="Times New Roman" w:hAnsi="Times New Roman"/>
          <w:color w:val="000000"/>
          <w:sz w:val="22"/>
        </w:rPr>
        <w:t xml:space="preserve">$____ </w:t>
      </w:r>
      <w:r>
        <w:rPr>
          <w:rFonts w:cs="Times New Roman" w:ascii="Times New Roman" w:hAnsi="Times New Roman"/>
          <w:sz w:val="22"/>
        </w:rPr>
        <w:t xml:space="preserve">and the Return Amount will be rounded down to the nearest integral multiple of U.S. </w:t>
      </w:r>
      <w:r>
        <w:rPr>
          <w:rFonts w:cs="Times New Roman" w:ascii="Times New Roman" w:hAnsi="Times New Roman"/>
          <w:color w:val="000000"/>
          <w:sz w:val="22"/>
        </w:rPr>
        <w:t>$____.</w:t>
      </w:r>
    </w:p>
    <w:p>
      <w:pPr>
        <w:pStyle w:val="Normal"/>
        <w:widowControl/>
        <w:ind w:hanging="720"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widowContro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Illegality</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Credit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None</w:t>
            </w:r>
            <w:r>
              <w:rPr>
                <w:rStyle w:val="FootnoteCharacters"/>
                <w:rStyle w:val="FootnoteReference"/>
                <w:rFonts w:cs="Times New Roman" w:ascii="Times New Roman" w:hAnsi="Times New Roman"/>
                <w:color w:val="FF0000"/>
                <w:sz w:val="22"/>
              </w:rPr>
              <w:footnoteReference w:id="7"/>
            </w:r>
          </w:p>
        </w:tc>
      </w:tr>
    </w:tbl>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tabs>
          <w:tab w:val="clear" w:pos="720"/>
          <w:tab w:val="left" w:pos="1440" w:leader="none"/>
        </w:tabs>
        <w:spacing w:before="240" w:after="0"/>
        <w:ind w:start="720" w:end="0"/>
        <w:jc w:val="both"/>
        <w:rPr/>
      </w:pPr>
      <w:r>
        <w:rPr>
          <w:rFonts w:cs="Times New Roman" w:ascii="Times New Roman" w:hAnsi="Times New Roman"/>
          <w:color w:val="FF0000"/>
          <w:sz w:val="22"/>
        </w:rPr>
        <w:t>[</w:t>
      </w:r>
      <w:r>
        <w:rPr>
          <w:rFonts w:cs="Times New Roman" w:ascii="Times New Roman" w:hAnsi="Times New Roman"/>
          <w:sz w:val="22"/>
        </w:rPr>
        <w:t>(iv)  The provisions of Paragraph 5(i)(B) are hereby amended by inserting the following immediately before the word “and” in line 5 thereof:</w:t>
      </w:r>
    </w:p>
    <w:p>
      <w:pPr>
        <w:pStyle w:val="Normal"/>
        <w:widowControl/>
        <w:spacing w:before="240" w:after="0"/>
        <w:ind w:start="720" w:end="0"/>
        <w:jc w:val="both"/>
        <w:rPr>
          <w:rFonts w:ascii="Times New Roman" w:hAnsi="Times New Roman" w:cs="Times New Roman"/>
          <w:sz w:val="22"/>
        </w:rPr>
      </w:pPr>
      <w:r>
        <w:rPr>
          <w:rFonts w:cs="Times New Roman" w:ascii="Times New Roman" w:hAnsi="Times New Roman"/>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rFonts w:cs="Times New Roman" w:ascii="Times New Roman" w:hAnsi="Times New Roman"/>
          <w:color w:val="FF0000"/>
          <w:sz w:val="22"/>
        </w:rPr>
        <w:t>]</w:t>
      </w:r>
      <w:r>
        <w:rPr>
          <w:rStyle w:val="FootnoteCharacters"/>
          <w:rStyle w:val="FootnoteReference"/>
          <w:rFonts w:cs="Times New Roman" w:ascii="Times New Roman" w:hAnsi="Times New Roman"/>
          <w:color w:val="FF0000"/>
          <w:sz w:val="22"/>
        </w:rPr>
        <w:footnoteReference w:id="8"/>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(1)  Party A is not a Defaulting Party and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has a Credit Rating and the lowest Credit Rating for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is “BBB-” or higher by S&amp;P</w:t>
      </w:r>
      <w:r>
        <w:rPr>
          <w:rFonts w:cs="Times New Roman" w:ascii="Times New Roman" w:hAnsi="Times New Roman"/>
          <w:color w:val="FF0000"/>
          <w:sz w:val="22"/>
        </w:rPr>
        <w:t>[</w:t>
      </w:r>
      <w:r>
        <w:rPr>
          <w:rFonts w:cs="Times New Roman" w:ascii="Times New Roman" w:hAnsi="Times New Roman"/>
          <w:sz w:val="22"/>
        </w:rPr>
        <w:t xml:space="preserve"> or “Baa3” or higher by Moody’s</w:t>
      </w:r>
      <w:r>
        <w:rPr>
          <w:rFonts w:cs="Times New Roman" w:ascii="Times New Roman" w:hAnsi="Times New Roman"/>
          <w:color w:val="FF0000"/>
          <w:sz w:val="22"/>
        </w:rPr>
        <w:t>]</w:t>
      </w:r>
      <w:r>
        <w:rPr>
          <w:rFonts w:cs="Times New Roman" w:ascii="Times New Roman" w:hAnsi="Times New Roman"/>
          <w:sz w:val="22"/>
        </w:rPr>
        <w:t>.</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If Party A is not eligible to hold Posted Collateral pursuant to this Section, then it shall be considered a “Downgraded Party” (as defined in Paragraph 13(g)(ii)) and Posted Collateral shall be maintained in accordance with Paragraphs 13(g)(ii)(a) and 13(h)(iii).</w:t>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9"/>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color w:val="FF0000"/>
          <w:sz w:val="22"/>
        </w:rPr>
        <w:t>[</w:t>
      </w: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(1)  Party B is not a Defaulting Party and </w:t>
      </w:r>
      <w:r>
        <w:rPr>
          <w:rFonts w:cs="Times New Roman" w:ascii="Times New Roman" w:hAnsi="Times New Roman"/>
          <w:color w:val="FF0000"/>
          <w:sz w:val="22"/>
        </w:rPr>
        <w:t>[[</w:t>
      </w:r>
      <w:r>
        <w:rPr>
          <w:rFonts w:cs="Times New Roman" w:ascii="Times New Roman" w:hAnsi="Times New Roman"/>
          <w:sz w:val="22"/>
        </w:rPr>
        <w:t>it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its Credit Support Provider</w:t>
      </w:r>
      <w:r>
        <w:rPr>
          <w:rFonts w:cs="Times New Roman" w:ascii="Times New Roman" w:hAnsi="Times New Roman"/>
          <w:color w:val="FF0000"/>
          <w:sz w:val="22"/>
        </w:rPr>
        <w:t>]</w:t>
      </w:r>
      <w:r>
        <w:rPr>
          <w:rFonts w:cs="Times New Roman" w:ascii="Times New Roman" w:hAnsi="Times New Roman"/>
          <w:sz w:val="22"/>
        </w:rPr>
        <w:t xml:space="preserve"> has a Credit Rating and the lowest Credit Rating for </w:t>
      </w:r>
      <w:r>
        <w:rPr>
          <w:rFonts w:cs="Times New Roman" w:ascii="Times New Roman" w:hAnsi="Times New Roman"/>
          <w:color w:val="FF0000"/>
          <w:sz w:val="22"/>
        </w:rPr>
        <w:t>[</w:t>
      </w:r>
      <w:r>
        <w:rPr>
          <w:rFonts w:cs="Times New Roman" w:ascii="Times New Roman" w:hAnsi="Times New Roman"/>
          <w:sz w:val="22"/>
        </w:rPr>
        <w:t>it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its Credit Support Provider</w:t>
      </w:r>
      <w:r>
        <w:rPr>
          <w:rFonts w:cs="Times New Roman" w:ascii="Times New Roman" w:hAnsi="Times New Roman"/>
          <w:color w:val="FF0000"/>
          <w:sz w:val="22"/>
        </w:rPr>
        <w:t>]</w:t>
      </w:r>
      <w:r>
        <w:rPr>
          <w:rFonts w:cs="Times New Roman" w:ascii="Times New Roman" w:hAnsi="Times New Roman"/>
          <w:sz w:val="22"/>
        </w:rPr>
        <w:t xml:space="preserve"> is “</w:t>
      </w:r>
      <w:r>
        <w:rPr>
          <w:rFonts w:cs="Times New Roman" w:ascii="Times New Roman" w:hAnsi="Times New Roman"/>
          <w:color w:val="000000"/>
          <w:sz w:val="22"/>
        </w:rPr>
        <w:t>___</w:t>
      </w:r>
      <w:r>
        <w:rPr>
          <w:rFonts w:cs="Times New Roman" w:ascii="Times New Roman" w:hAnsi="Times New Roman"/>
          <w:sz w:val="22"/>
        </w:rPr>
        <w:t>” or higher by S&amp;P</w:t>
      </w:r>
      <w:r>
        <w:rPr>
          <w:rFonts w:cs="Times New Roman" w:ascii="Times New Roman" w:hAnsi="Times New Roman"/>
          <w:color w:val="FF0000"/>
          <w:sz w:val="22"/>
        </w:rPr>
        <w:t>[</w:t>
      </w:r>
      <w:r>
        <w:rPr>
          <w:rFonts w:cs="Times New Roman" w:ascii="Times New Roman" w:hAnsi="Times New Roman"/>
          <w:sz w:val="22"/>
        </w:rPr>
        <w:t xml:space="preserve"> or “</w:t>
      </w:r>
      <w:r>
        <w:rPr>
          <w:rFonts w:cs="Times New Roman" w:ascii="Times New Roman" w:hAnsi="Times New Roman"/>
          <w:color w:val="000000"/>
          <w:sz w:val="22"/>
        </w:rPr>
        <w:t>___</w:t>
      </w:r>
      <w:r>
        <w:rPr>
          <w:rFonts w:cs="Times New Roman" w:ascii="Times New Roman" w:hAnsi="Times New Roman"/>
          <w:sz w:val="22"/>
        </w:rPr>
        <w:t>” or higher by Moody’s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 Material Adverse Change has not occurred with respect to Party B</w:t>
      </w:r>
      <w:r>
        <w:rPr>
          <w:rFonts w:cs="Times New Roman" w:ascii="Times New Roman" w:hAnsi="Times New Roman"/>
          <w:color w:val="FF0000"/>
          <w:sz w:val="22"/>
        </w:rPr>
        <w:t>]</w:t>
      </w:r>
      <w:r>
        <w:rPr>
          <w:rFonts w:cs="Times New Roman" w:ascii="Times New Roman" w:hAnsi="Times New Roman"/>
          <w:sz w:val="22"/>
        </w:rPr>
        <w:t>.</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r>
        <w:rPr>
          <w:color w:val="FF0000"/>
        </w:rPr>
        <w:t xml:space="preserve">] </w:t>
      </w:r>
      <w:r>
        <w:rPr>
          <w:rStyle w:val="FootnoteCharacters"/>
          <w:rStyle w:val="FootnoteReference"/>
          <w:rFonts w:cs="Times New Roman"/>
          <w:color w:val="FF0000"/>
          <w:sz w:val="22"/>
        </w:rPr>
        <w:footnoteReference w:id="10"/>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color w:val="FF0000"/>
        </w:rPr>
        <w:t>[</w:t>
      </w:r>
      <w:r>
        <w:rPr/>
        <w:t>With respect to Party B, Posted Collateral shall be maintained in accordance with Paragraphs 13(g)(ii)(b) and 13(h)(iii) and the provisions of Paragraphs 6(b)(i), 6(b)(ii) and 6(c) shall be inapplicable with respect to Party B as the Secured Party.</w:t>
      </w:r>
      <w:r>
        <w:rPr>
          <w:color w:val="FF0000"/>
        </w:rPr>
        <w:t xml:space="preserve">] </w:t>
      </w:r>
      <w:r>
        <w:rPr>
          <w:rStyle w:val="FootnoteCharacters"/>
          <w:rStyle w:val="FootnoteReference"/>
          <w:rFonts w:cs="Times New Roman"/>
          <w:color w:val="FF0000"/>
          <w:sz w:val="22"/>
        </w:rPr>
        <w:footnoteReference w:id="11"/>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Use of Posted Collateral.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color w:val="FF0000"/>
          <w:sz w:val="22"/>
        </w:rPr>
        <w:t>[</w:t>
      </w:r>
      <w:r>
        <w:rPr>
          <w:rFonts w:cs="Times New Roman" w:ascii="Times New Roman" w:hAnsi="Times New Roman"/>
          <w:sz w:val="22"/>
        </w:rPr>
        <w:t>The provisions of Paragraph 6(c) will apply to the parties</w:t>
      </w:r>
      <w:r>
        <w:rPr>
          <w:rStyle w:val="FootnoteCharacters"/>
          <w:rStyle w:val="FootnoteReference"/>
          <w:rFonts w:cs="Times New Roman" w:ascii="Times New Roman" w:hAnsi="Times New Roman"/>
          <w:color w:val="FF0000"/>
          <w:sz w:val="22"/>
        </w:rPr>
        <w:footnoteReference w:id="12"/>
      </w:r>
      <w:r>
        <w:rPr>
          <w:rFonts w:cs="Times New Roman" w:ascii="Times New Roman" w:hAnsi="Times New Roman"/>
          <w:color w:val="FF0000"/>
          <w:sz w:val="22"/>
        </w:rPr>
        <w:t>][</w:t>
      </w:r>
      <w:r>
        <w:rPr>
          <w:rFonts w:cs="Times New Roman" w:ascii="Times New Roman" w:hAnsi="Times New Roman"/>
          <w:sz w:val="22"/>
        </w:rPr>
        <w:t>(a) The provisions of Paragraph 6(c) will apply to Party A only</w:t>
      </w:r>
      <w:r>
        <w:rPr>
          <w:rStyle w:val="FootnoteCharacters"/>
          <w:rStyle w:val="FootnoteReference"/>
          <w:rFonts w:cs="Times New Roman" w:ascii="Times New Roman" w:hAnsi="Times New Roman"/>
          <w:color w:val="FF0000"/>
          <w:sz w:val="22"/>
        </w:rPr>
        <w:footnoteReference w:id="13"/>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w:t>
      </w:r>
      <w:r>
        <w:rPr>
          <w:rFonts w:cs="Times New Roman" w:ascii="Times New Roman" w:hAnsi="Times New Roman"/>
          <w:color w:val="FF0000"/>
          <w:sz w:val="22"/>
        </w:rPr>
        <w:t>[</w:t>
      </w:r>
      <w:r>
        <w:rPr>
          <w:rFonts w:cs="Times New Roman" w:ascii="Times New Roman" w:hAnsi="Times New Roman"/>
          <w:sz w:val="22"/>
        </w:rPr>
        <w:t>a party</w:t>
      </w:r>
      <w:r>
        <w:rPr>
          <w:rFonts w:cs="Times New Roman" w:ascii="Times New Roman" w:hAnsi="Times New Roman"/>
          <w:color w:val="FF0000"/>
          <w:sz w:val="22"/>
        </w:rPr>
        <w:t>][</w:t>
      </w:r>
      <w:r>
        <w:rPr>
          <w:rFonts w:cs="Times New Roman" w:ascii="Times New Roman" w:hAnsi="Times New Roman"/>
          <w:sz w:val="22"/>
        </w:rPr>
        <w:t>Party A</w:t>
      </w:r>
      <w:r>
        <w:rPr>
          <w:rStyle w:val="FootnoteCharacters"/>
          <w:rStyle w:val="FootnoteReference"/>
          <w:rFonts w:cs="Times New Roman" w:ascii="Times New Roman" w:hAnsi="Times New Roman"/>
          <w:color w:val="FF0000"/>
          <w:sz w:val="22"/>
        </w:rPr>
        <w:footnoteReference w:id="14"/>
      </w:r>
      <w:r>
        <w:rPr>
          <w:rFonts w:cs="Times New Roman" w:ascii="Times New Roman" w:hAnsi="Times New Roman"/>
          <w:color w:val="FF0000"/>
          <w:sz w:val="22"/>
        </w:rPr>
        <w:t>]</w:t>
      </w:r>
      <w:r>
        <w:rPr>
          <w:rFonts w:cs="Times New Roman" w:ascii="Times New Roman" w:hAnsi="Times New Roman"/>
          <w:sz w:val="22"/>
        </w:rPr>
        <w:t xml:space="preserve"> is not eligible to hold Posted Collateral pursuant to Paragraph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Header"/>
        <w:ind w:start="108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w:t>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15"/>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pPr>
      <w:r>
        <w:rPr>
          <w:rFonts w:cs="Times New Roman" w:ascii="Times New Roman" w:hAnsi="Times New Roman"/>
          <w:sz w:val="22"/>
        </w:rPr>
        <w:t xml:space="preserve">(A)  If the provisions of Paragraph 6(c) do not apply to a party as a result of </w:t>
      </w:r>
      <w:r>
        <w:rPr>
          <w:rFonts w:cs="Times New Roman" w:ascii="Times New Roman" w:hAnsi="Times New Roman"/>
          <w:color w:val="FF0000"/>
          <w:sz w:val="22"/>
        </w:rPr>
        <w:t>[</w:t>
      </w:r>
      <w:r>
        <w:rPr>
          <w:rFonts w:cs="Times New Roman" w:ascii="Times New Roman" w:hAnsi="Times New Roman"/>
          <w:sz w:val="22"/>
        </w:rPr>
        <w:t>a Credit Rating Event described in Paragraph 13(g)(ii)</w:t>
      </w:r>
      <w:r>
        <w:rPr>
          <w:rStyle w:val="FootnoteCharacters"/>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16"/>
      </w:r>
      <w:r>
        <w:rPr>
          <w:rFonts w:cs="Times New Roman" w:ascii="Times New Roman" w:hAnsi="Times New Roman"/>
          <w:color w:val="FF0000"/>
          <w:sz w:val="22"/>
        </w:rPr>
        <w:t>][</w:t>
      </w:r>
      <w:r>
        <w:rPr>
          <w:rFonts w:cs="Times New Roman" w:ascii="Times New Roman" w:hAnsi="Times New Roman"/>
          <w:sz w:val="22"/>
        </w:rPr>
        <w:t>the provisions of Paragraphs 13(g)(i) or 13(g)(ii)(a)</w:t>
      </w:r>
      <w:r>
        <w:rPr>
          <w:rStyle w:val="FootnoteCharacters"/>
          <w:rStyle w:val="FootnoteReference"/>
          <w:rFonts w:cs="Times New Roman" w:ascii="Times New Roman" w:hAnsi="Times New Roman"/>
          <w:color w:val="FF0000"/>
          <w:sz w:val="22"/>
        </w:rPr>
        <w:footnoteReference w:id="17"/>
      </w:r>
      <w:r>
        <w:rPr>
          <w:rFonts w:cs="Times New Roman" w:ascii="Times New Roman" w:hAnsi="Times New Roman"/>
          <w:color w:val="FF0000"/>
          <w:sz w:val="22"/>
        </w:rPr>
        <w:t>]</w:t>
      </w:r>
      <w:r>
        <w:rPr>
          <w:rFonts w:cs="Times New Roman" w:ascii="Times New Roman" w:hAnsi="Times New Roman"/>
          <w:sz w:val="22"/>
        </w:rPr>
        <w:t>,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rFonts w:cs="Times New Roman" w:ascii="Times New Roman" w:hAnsi="Times New Roman"/>
          <w:color w:val="FF0000"/>
          <w:sz w:val="22"/>
        </w:rPr>
        <w:footnoteReference w:id="18"/>
      </w:r>
      <w:r>
        <w:rPr>
          <w:rFonts w:cs="Times New Roman" w:ascii="Times New Roman" w:hAnsi="Times New Roman"/>
          <w:color w:val="FF0000"/>
          <w:sz w:val="22"/>
        </w:rPr>
        <w: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rFonts w:cs="Times New Roman" w:ascii="Times New Roman" w:hAnsi="Times New Roman"/>
          <w:color w:val="FF0000"/>
          <w:sz w:val="22"/>
        </w:rPr>
        <w:t>[</w:t>
      </w:r>
      <w:r>
        <w:rPr>
          <w:rFonts w:cs="Times New Roman" w:ascii="Times New Roman" w:hAnsi="Times New Roman"/>
          <w:sz w:val="22"/>
        </w:rPr>
        <w:t>If such ratings are not available, then “Credit Rating” shall mean the S&amp;P corporate bond rating.</w:t>
      </w:r>
      <w:r>
        <w:rPr>
          <w:rStyle w:val="FootnoteCharacters"/>
          <w:rStyle w:val="FootnoteReference"/>
          <w:rFonts w:cs="Times New Roman" w:ascii="Times New Roman" w:hAnsi="Times New Roman"/>
          <w:color w:val="FF0000"/>
          <w:sz w:val="22"/>
        </w:rPr>
        <w:footnoteReference w:id="19"/>
      </w:r>
      <w:r>
        <w:rPr>
          <w:rFonts w:cs="Times New Roman" w:ascii="Times New Roman" w:hAnsi="Times New Roman"/>
          <w:color w:val="FF0000"/>
          <w:sz w:val="22"/>
        </w:rPr>
        <w: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t>
      </w:r>
      <w:r>
        <w:rPr>
          <w:rFonts w:cs="Times New Roman" w:ascii="Times New Roman" w:hAnsi="Times New Roman"/>
          <w:color w:val="000000"/>
          <w:sz w:val="22"/>
        </w:rPr>
        <w:t>________________________________________.</w:t>
      </w:r>
      <w:r>
        <w:rPr>
          <w:rStyle w:val="FootnoteCharacters"/>
          <w:rStyle w:val="FootnoteReference"/>
          <w:rFonts w:cs="Times New Roman" w:ascii="Times New Roman" w:hAnsi="Times New Roman"/>
          <w:color w:val="FF0000"/>
          <w:sz w:val="22"/>
        </w:rPr>
        <w:footnoteReference w:id="20"/>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color w:val="FF0000"/>
          <w:sz w:val="22"/>
        </w:rPr>
        <w:t>[</w:t>
      </w:r>
      <w:r>
        <w:rPr>
          <w:rFonts w:cs="Times New Roman" w:ascii="Times New Roman" w:hAnsi="Times New Roman"/>
          <w:sz w:val="22"/>
        </w:rPr>
        <w:t>(iii)  Paragraph 3(b) is hereby amended by adding the following after the phrase “(rounded pursuant to Paragraph 13)”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Secured Party will, upon the Pledgor’s request, Transfer to the Pledgor all Posted Credit Support if the amount of such Posted Credit Support is material and if the Pledgor’s Credit Support Amount is zero.”</w:t>
      </w:r>
      <w:r>
        <w:rPr>
          <w:rStyle w:val="FootnoteCharacters"/>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21"/>
      </w:r>
      <w:r>
        <w:rPr>
          <w:rFonts w:cs="Times New Roman" w:ascii="Times New Roman" w:hAnsi="Times New Roman"/>
          <w:color w:val="FF0000"/>
          <w:sz w:val="22"/>
        </w:rPr>
        <w:t>]</w:t>
      </w:r>
    </w:p>
    <w:p>
      <w:pPr>
        <w:pStyle w:val="Normal"/>
        <w:widowControl/>
        <w:jc w:val="center"/>
        <w:rPr>
          <w:rFonts w:ascii="Times New Roman" w:hAnsi="Times New Roman" w:cs="Times New Roman"/>
          <w:b/>
          <w:sz w:val="22"/>
        </w:rPr>
      </w:pPr>
      <w:r>
        <w:rPr>
          <w:rFonts w:cs="Times New Roman" w:ascii="Times New Roman" w:hAnsi="Times New Roman"/>
          <w:b/>
          <w:sz w:val="22"/>
        </w:rPr>
        <w:t>MATERIAL ADVERSE CHANGE ("MAC") CLAUSES</w:t>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(delete this page when done)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caps/>
          <w:spacing w:val="0"/>
          <w:sz w:val="22"/>
          <w:u w:val="single"/>
        </w:rPr>
      </w:pPr>
      <w:r>
        <w:rPr>
          <w:rFonts w:cs="Times New Roman" w:ascii="Times New Roman" w:hAnsi="Times New Roman"/>
          <w:caps/>
          <w:spacing w:val="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rFonts w:ascii="Times New Roman" w:hAnsi="Times New Roman" w:cs="Times New Roman"/>
          <w:b/>
          <w:sz w:val="22"/>
          <w:u w:val="single"/>
        </w:rPr>
      </w:pPr>
      <w:r>
        <w:rPr>
          <w:rFonts w:cs="Times New Roman" w:ascii="Times New Roman" w:hAnsi="Times New Roman"/>
          <w:b/>
          <w:sz w:val="22"/>
        </w:rPr>
        <w:t>[</w:t>
      </w:r>
      <w:r>
        <w:rPr>
          <w:rFonts w:cs="Times New Roman" w:ascii="Times New Roman" w:hAnsi="Times New Roman"/>
          <w:b/>
          <w:sz w:val="22"/>
          <w:u w:val="single"/>
        </w:rPr>
        <w:t>INSERT IF MAC IS TO BE APPLICABLE TO ECT (“Party A”) AND COUNTERPARTY (“Party B”) (CREDIT RATINGS)</w:t>
      </w:r>
      <w:r>
        <w:rPr>
          <w:rFonts w:cs="Times New Roman" w:ascii="Times New Roman" w:hAnsi="Times New Roman"/>
          <w:b/>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u w:val="single"/>
        </w:rPr>
      </w:pPr>
      <w:r>
        <w:rPr>
          <w:rFonts w:cs="Times New Roman" w:ascii="Times New Roman" w:hAnsi="Times New Roman"/>
          <w:b/>
          <w:sz w:val="22"/>
        </w:rPr>
        <w:t>[</w:t>
      </w:r>
      <w:r>
        <w:rPr>
          <w:rFonts w:cs="Times New Roman" w:ascii="Times New Roman" w:hAnsi="Times New Roman"/>
          <w:b/>
          <w:sz w:val="22"/>
          <w:u w:val="single"/>
        </w:rPr>
        <w:t>INSERT IF MAC IS TO BE APPLICABLE TO ECT (“Party A”) (CREDIT RATING) AND COUNTERPARTY (“Party B”) (NON-SPECIFIC MAC)</w:t>
      </w:r>
      <w:r>
        <w:rPr>
          <w:rFonts w:cs="Times New Roman" w:ascii="Times New Roman" w:hAnsi="Times New Roman"/>
          <w:b/>
          <w:sz w:val="22"/>
        </w:rPr>
        <w:t>]:</w:t>
      </w:r>
    </w:p>
    <w:p>
      <w:pPr>
        <w:pStyle w:val="Justified"/>
        <w:widowControl/>
        <w:spacing w:before="0" w:after="0"/>
        <w:rPr>
          <w:rFonts w:ascii="Times New Roman" w:hAnsi="Times New Roman" w:cs="Times New Roman"/>
          <w:b/>
          <w:sz w:val="22"/>
          <w:u w:val="single"/>
        </w:rPr>
      </w:pPr>
      <w:r>
        <w:rPr>
          <w:rFonts w:cs="Times New Roman" w:ascii="Times New Roman" w:hAnsi="Times New Roman"/>
          <w:b/>
          <w:sz w:val="22"/>
          <w:u w:val="single"/>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in the reasonable opinion of Party A, a material adverse change has occurred in the business, financial condition or operations of Party B [or its Credit Support Provider].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u w:val="single"/>
        </w:rPr>
      </w:pPr>
      <w:r>
        <w:rPr>
          <w:rFonts w:cs="Times New Roman" w:ascii="Times New Roman" w:hAnsi="Times New Roman"/>
          <w:b/>
          <w:sz w:val="22"/>
        </w:rPr>
        <w:t>[</w:t>
      </w:r>
      <w:r>
        <w:rPr>
          <w:rFonts w:cs="Times New Roman" w:ascii="Times New Roman" w:hAnsi="Times New Roman"/>
          <w:b/>
          <w:sz w:val="22"/>
          <w:u w:val="single"/>
        </w:rPr>
        <w:t>INSERT IF MAC IS TO BE APPLICABLE TO ONLY COUNTERPARTY (“Party B”) (NON-SPECIFIC MAC)</w:t>
      </w:r>
      <w:r>
        <w:rPr>
          <w:rFonts w:cs="Times New Roman" w:ascii="Times New Roman" w:hAnsi="Times New Roman"/>
          <w:b/>
          <w:sz w:val="22"/>
        </w:rPr>
        <w:t>]:</w:t>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Times New Roman" w:hAnsi="Times New Roman" w:cs="Times New Roman"/>
          <w:b/>
          <w:sz w:val="22"/>
          <w:u w:val="single"/>
        </w:rPr>
      </w:pPr>
      <w:r>
        <w:rPr>
          <w:rFonts w:cs="Times New Roman" w:ascii="Times New Roman" w:hAnsi="Times New Roman"/>
          <w:b/>
          <w:sz w:val="22"/>
          <w:u w:val="single"/>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with respect to Party B, in the reasonable opinion of Party A, a material adverse change has occurred in the business, financial condition or operations of Party B [or its Credit Support Provider].</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both"/>
        <w:rPr/>
      </w:pPr>
      <w:r>
        <w:rPr>
          <w:rFonts w:cs="Times New Roman" w:ascii="Times New Roman" w:hAnsi="Times New Roman"/>
          <w:b/>
          <w:sz w:val="22"/>
        </w:rPr>
        <w:t>[</w:t>
      </w:r>
      <w:r>
        <w:rPr>
          <w:rFonts w:cs="Times New Roman" w:ascii="Times New Roman" w:hAnsi="Times New Roman"/>
          <w:b/>
          <w:sz w:val="22"/>
          <w:u w:val="single"/>
        </w:rPr>
        <w:t>INSERT IF MAC IS TO BE APPLICABLE TO ONLY COUNTERPARTY (“Party B”) (CREDIT RATING)</w:t>
      </w:r>
      <w:r>
        <w:rPr>
          <w:rFonts w:cs="Times New Roman" w:ascii="Times New Roman" w:hAnsi="Times New Roman"/>
          <w:b/>
          <w:sz w:val="22"/>
        </w:rPr>
        <w:t>]:</w:t>
      </w:r>
    </w:p>
    <w:p>
      <w:pPr>
        <w:pStyle w:val="Normal"/>
        <w:widowControl/>
        <w:spacing w:lineRule="atLeas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with respect to Party B, [its] [its Credit Support Provider’s] Credit Rating is below “__” by S&amp;P [or below “__” by Moody’s] or [it][its Credit Support Provider] fails to have a Credit Rating from S&amp;P [or Moody’s].</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both"/>
        <w:rPr>
          <w:rFonts w:ascii="Times New Roman" w:hAnsi="Times New Roman" w:cs="Times New Roman"/>
          <w:sz w:val="22"/>
        </w:rPr>
      </w:pPr>
      <w:r>
        <w:rPr>
          <w:rFonts w:cs="Times New Roman" w:ascii="Times New Roman" w:hAnsi="Times New Roman"/>
          <w:b/>
          <w:sz w:val="22"/>
          <w:u w:val="single"/>
        </w:rPr>
        <w:t>[INSERT IF MAC CONTAINS FINANCIAL COVENANTS FOR COUNTERPARTY (“Party B”) AND CREDIT RATING FOR ECT’S GUARANTOR (“Party A”)]</w:t>
      </w:r>
      <w:r>
        <w:rPr>
          <w:rFonts w:cs="Times New Roman" w:ascii="Times New Roman" w:hAnsi="Times New Roman"/>
          <w:b/>
          <w:sz w:val="22"/>
        </w:rPr>
        <w:t>:</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(a) with respect to Party A, [Enron Corp.’s][its Credit Support Provider’s] Credit Rating is below “BBB-” by S&amp;P [or below “Baa3” by Moody’s] or [Enron Corp.][its Credit Support Provider] fails to have a Credit Rating from S&amp;P [or Moody’s]; or (b) with respect to Party B, [it] [its Credit Support Provider] shall have any of the following occur at any time:  [(i) the ratio of its [Funded Debt][Total Debt] to Net Worth is more than _____ to _____, or (ii) its Net Worth falls below [U.S.] $</w:t>
      </w:r>
      <w:r>
        <w:rPr>
          <w:rFonts w:cs="Times New Roman" w:ascii="Times New Roman" w:hAnsi="Times New Roman"/>
          <w:sz w:val="22"/>
          <w:u w:val="single"/>
        </w:rPr>
        <w:tab/>
        <w:tab/>
      </w:r>
      <w:r>
        <w:rPr>
          <w:rFonts w:cs="Times New Roman" w:ascii="Times New Roman" w:hAnsi="Times New Roman"/>
          <w:sz w:val="22"/>
        </w:rPr>
        <w: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center"/>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u w:val="single"/>
        </w:rPr>
        <w:t>DEFINITIONS TO BE INSERTED AS APPROPRIATE</w:t>
      </w:r>
      <w:r>
        <w:rPr>
          <w:rFonts w:cs="Times New Roman" w:ascii="Times New Roman" w:hAnsi="Times New Roman"/>
          <w:b/>
          <w:sz w:val="22"/>
        </w:rPr>
        <w:t>]</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Cash Flow”</w:t>
      </w:r>
      <w:r>
        <w:rPr>
          <w:rFonts w:cs="Times New Roman" w:ascii="Times New Roman" w:hAnsi="Times New Roman"/>
          <w:sz w:val="22"/>
        </w:rPr>
        <w:t xml:space="preserve"> means Net Income plus depreciation and non-cash charges from the consolidated income statement of [Party B] [ Party B’s Credit Support Provider] prepared in accordance with GAAP.</w:t>
      </w:r>
    </w:p>
    <w:p>
      <w:pPr>
        <w:pStyle w:val="Normal"/>
        <w:widowContro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Current Assets”</w:t>
      </w:r>
      <w:r>
        <w:rPr>
          <w:rFonts w:cs="Times New Roman" w:ascii="Times New Roman" w:hAnsi="Times New Roman"/>
          <w:sz w:val="22"/>
        </w:rPr>
        <w:t xml:space="preserve"> means consolidated current assets of [Party B] [Party B’s Credit Support Provider] as would be reflected on a consolidated balance sheet of [Party B] [Party B’s Credit Support Provider] prepared in accordance with GAAP.</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Current Liabilities”</w:t>
      </w:r>
      <w:r>
        <w:rPr>
          <w:rFonts w:cs="Times New Roman" w:ascii="Times New Roman" w:hAnsi="Times New Roman"/>
          <w:sz w:val="22"/>
        </w:rPr>
        <w:t xml:space="preserve"> means consolidated current liabilities of [Party B] [Party B’s Credit Support Provider] as would be reflected on a consolidated balance sheet of [Party B] [Party B’s Credit Support Provider] prepared in accordance with GAAP.</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Current Maturities of Long Term Debt”</w:t>
      </w:r>
      <w:r>
        <w:rPr>
          <w:rFonts w:cs="Times New Roman" w:ascii="Times New Roman" w:hAnsi="Times New Roman"/>
          <w:i/>
          <w:sz w:val="22"/>
        </w:rPr>
        <w:t xml:space="preserve"> </w:t>
      </w:r>
      <w:r>
        <w:rPr>
          <w:rFonts w:cs="Times New Roman" w:ascii="Times New Roman" w:hAnsi="Times New Roman"/>
          <w:sz w:val="22"/>
        </w:rPr>
        <w:t>means payments required by third party lenders on consolidated long term debt of [Party B] [Party B’s Credit Support Provider] within the next twelve (12) calendar months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DBRS”</w:t>
      </w:r>
      <w:r>
        <w:rPr>
          <w:rFonts w:cs="Times New Roman" w:ascii="Times New Roman" w:hAnsi="Times New Roman"/>
          <w:sz w:val="22"/>
        </w:rPr>
        <w:t xml:space="preserve"> means Dominion Bond Rating Service Limited, or its successor.</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both"/>
        <w:rPr>
          <w:rFonts w:ascii="Times New Roman" w:hAnsi="Times New Roman" w:cs="Times New Roman"/>
          <w:b/>
          <w:sz w:val="22"/>
        </w:rPr>
      </w:pPr>
      <w:r>
        <w:rPr>
          <w:rFonts w:cs="Times New Roman" w:ascii="Times New Roman" w:hAnsi="Times New Roman"/>
          <w:b/>
          <w:sz w:val="22"/>
        </w:rPr>
        <w:t>[EBIDTA LANGUAGE - INSERT ALL THE DEFINITIONS BELOW:</w:t>
      </w:r>
    </w:p>
    <w:p>
      <w:pPr>
        <w:pStyle w:val="Normal"/>
        <w:spacing w:lineRule="exact" w:line="240" w:before="240" w:after="0"/>
        <w:ind w:start="720" w:end="0"/>
        <w:jc w:val="both"/>
        <w:rPr>
          <w:rFonts w:ascii="Times New Roman" w:hAnsi="Times New Roman" w:cs="Times New Roman"/>
          <w:i/>
          <w:i/>
          <w:sz w:val="22"/>
        </w:rPr>
      </w:pPr>
      <w:r>
        <w:rPr>
          <w:rFonts w:cs="Times New Roman" w:ascii="Times New Roman" w:hAnsi="Times New Roman"/>
          <w:b/>
          <w:sz w:val="22"/>
        </w:rPr>
        <w:t>“</w:t>
      </w:r>
      <w:r>
        <w:rPr>
          <w:rFonts w:cs="Times New Roman" w:ascii="Times New Roman" w:hAnsi="Times New Roman"/>
          <w:b/>
          <w:sz w:val="22"/>
        </w:rPr>
        <w:t>Depreciation, Depletion and Amortization Expense”</w:t>
      </w:r>
      <w:r>
        <w:rPr>
          <w:rFonts w:cs="Times New Roman" w:ascii="Times New Roman" w:hAnsi="Times New Roman"/>
          <w:sz w:val="22"/>
        </w:rPr>
        <w:t xml:space="preserve"> means, with respect to [Party B][Party B’s Credit Support Provider] for any period, the total amount of depreciation, depletion and amortization expense (exclusive of the amortization of the principal amount of any indebtedness) and other similar non-cash operating charges for such person for such period.</w:t>
      </w:r>
    </w:p>
    <w:p>
      <w:pPr>
        <w:pStyle w:val="BodyText"/>
        <w:ind w:start="720" w:end="0"/>
        <w:rPr>
          <w:rFonts w:ascii="Times New Roman" w:hAnsi="Times New Roman" w:cs="Times New Roman"/>
          <w:b/>
          <w:i/>
          <w:i/>
          <w:sz w:val="22"/>
        </w:rPr>
      </w:pPr>
      <w:r>
        <w:rPr>
          <w:rFonts w:cs="Times New Roman"/>
          <w:b/>
          <w:i/>
          <w:sz w:val="22"/>
        </w:rPr>
      </w:r>
    </w:p>
    <w:p>
      <w:pPr>
        <w:pStyle w:val="BodyText"/>
        <w:ind w:start="720" w:end="0"/>
        <w:jc w:val="both"/>
        <w:rPr/>
      </w:pPr>
      <w:r>
        <w:rPr>
          <w:b/>
        </w:rPr>
        <w:t>“</w:t>
      </w:r>
      <w:r>
        <w:rPr>
          <w:b/>
        </w:rPr>
        <w:t>EBITDA”</w:t>
      </w:r>
      <w:r>
        <w:rPr/>
        <w: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rFonts w:cs="Times New Roman" w:ascii="Times New Roman" w:hAnsi="Times New Roman"/>
          <w:b/>
          <w:sz w:val="22"/>
        </w:rPr>
        <w:t>“</w:t>
      </w:r>
      <w:r>
        <w:rPr>
          <w:rFonts w:cs="Times New Roman" w:ascii="Times New Roman" w:hAnsi="Times New Roman"/>
          <w:b/>
          <w:sz w:val="22"/>
        </w:rPr>
        <w:t>EBITDA Coverage Ratio”</w:t>
      </w:r>
      <w:r>
        <w:rPr>
          <w:rFonts w:cs="Times New Roman" w:ascii="Times New Roman" w:hAnsi="Times New Roman"/>
          <w:sz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pPr>
      <w:r>
        <w:rPr>
          <w:rFonts w:cs="Times New Roman" w:ascii="Times New Roman" w:hAnsi="Times New Roman"/>
          <w:b/>
          <w:sz w:val="22"/>
        </w:rPr>
        <w:t>“</w:t>
      </w:r>
      <w:r>
        <w:rPr>
          <w:rFonts w:cs="Times New Roman" w:ascii="Times New Roman" w:hAnsi="Times New Roman"/>
          <w:b/>
          <w:sz w:val="22"/>
        </w:rPr>
        <w:t>Interest Expense”</w:t>
      </w:r>
      <w:r>
        <w:rPr>
          <w:rFonts w:cs="Times New Roman" w:ascii="Times New Roman" w:hAnsi="Times New Roman"/>
          <w:sz w:val="22"/>
        </w:rPr>
        <w: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t>For EBIDTA, in addition to the definitions above, add our standard definition for “Net Income”]</w:t>
      </w:r>
    </w:p>
    <w:p>
      <w:pPr>
        <w:pStyle w:val="Normal"/>
        <w:widowControl/>
        <w:spacing w:lineRule="atLeas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Funded Debt”</w:t>
      </w:r>
      <w:r>
        <w:rPr>
          <w:rFonts w:cs="Times New Roman" w:ascii="Times New Roman" w:hAnsi="Times New Roman"/>
          <w:sz w:val="22"/>
        </w:rPr>
        <w:t xml:space="preserve"> means consolidated indebtedness of [Party B] [Party B’s Credit Support Provider] which by its terms matures more than one year from the date as of which any calculation of Funded Debt is made.</w:t>
      </w:r>
    </w:p>
    <w:p>
      <w:pPr>
        <w:pStyle w:val="Normal"/>
        <w:widowContro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GAAP”</w:t>
      </w:r>
      <w:r>
        <w:rPr>
          <w:rFonts w:cs="Times New Roman" w:ascii="Times New Roman" w:hAnsi="Times New Roman"/>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Goodwill”</w:t>
      </w:r>
      <w:r>
        <w:rPr>
          <w:rFonts w:cs="Times New Roman" w:ascii="Times New Roman" w:hAnsi="Times New Roman"/>
          <w:sz w:val="22"/>
        </w:rPr>
        <w:t xml:space="preserve"> means the residual of purchase price over the fair market value of all specific assets net of specific liabilities.  [</w:t>
      </w:r>
      <w:r>
        <w:rPr>
          <w:rFonts w:cs="Times New Roman" w:ascii="Times New Roman" w:hAnsi="Times New Roman"/>
          <w:i/>
          <w:sz w:val="22"/>
        </w:rPr>
        <w:t>Note:  when you use “Goodwill”, in the definition of “Net Worth” you need to change “(exclusive of intangible assets")” to “(exclusive of Goodwill</w:t>
      </w:r>
      <w:r>
        <w:rPr>
          <w:rFonts w:cs="Times New Roman" w:ascii="Times New Roman" w:hAnsi="Times New Roman"/>
          <w:sz w:val="22"/>
        </w:rPr>
        <w:t>)”]</w:t>
      </w:r>
    </w:p>
    <w:p>
      <w:pPr>
        <w:pStyle w:val="Normal"/>
        <w:widowContro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Net Income”</w:t>
      </w:r>
      <w:r>
        <w:rPr>
          <w:rFonts w:cs="Times New Roman" w:ascii="Times New Roman" w:hAnsi="Times New Roman"/>
          <w:sz w:val="22"/>
        </w:rPr>
        <w:t xml:space="preserve"> means consolidated gross revenues of [Party B] [Party B’s Credit Support Provider] and other proper income credits, less all proper income charges, including taxes on income, all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Net Worth”</w:t>
      </w:r>
      <w:r>
        <w:rPr>
          <w:rFonts w:cs="Times New Roman" w:ascii="Times New Roman" w:hAnsi="Times New Roman"/>
          <w:sz w:val="22"/>
        </w:rPr>
        <w:t xml:space="preserve"> means total consolidated assets of [Party B] [Party B’s Credit Support Provider] (exclusive of intangible assets), minus the total consolidated liabilities of [Party B] [Party B’s Credit Support Provider], each as would be reflected on a consolidated balance sheet of [Party B] [Party B’s Credit Support Provider] prepared in accordance with GAAP.</w:t>
      </w:r>
    </w:p>
    <w:p>
      <w:pPr>
        <w:pStyle w:val="Normal"/>
        <w:widowControl/>
        <w:spacing w:lineRule="atLeast" w:line="240"/>
        <w:ind w:start="720" w:end="144"/>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PV15 of PDP”</w:t>
      </w:r>
      <w:r>
        <w:rPr>
          <w:rFonts w:cs="Times New Roman" w:ascii="Times New Roman" w:hAnsi="Times New Roman"/>
          <w:i/>
          <w:sz w:val="22"/>
        </w:rPr>
        <w:t xml:space="preserve"> </w:t>
      </w:r>
      <w:r>
        <w:rPr>
          <w:rFonts w:cs="Times New Roman" w:ascii="Times New Roman" w:hAnsi="Times New Roman"/>
          <w:sz w:val="22"/>
        </w:rPr>
        <w:t xml:space="preserve">shall mean the present value worth before income taxes discounted at a rate of 15% of Party B’s proved developed producing reserves as indicated in the _______________ Report or such other independent reserve report prepared by a firm acceptable to Party A.  </w:t>
      </w:r>
      <w:r>
        <w:rPr>
          <w:rFonts w:cs="Times New Roman" w:ascii="Times New Roman" w:hAnsi="Times New Roman"/>
          <w:i/>
          <w:sz w:val="22"/>
        </w:rPr>
        <w:t>[When this definition is added you need to add into the “Financial Information” section, the request for the engineering report as follows:</w:t>
      </w:r>
    </w:p>
    <w:p>
      <w:pPr>
        <w:pStyle w:val="Justified"/>
        <w:widowControl/>
        <w:spacing w:lineRule="atLeast" w:line="240" w:before="0" w:after="0"/>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as soon as available and in any event within thirty (30) days after such report has been prepared, a copy of the annual, any semi-annual or quarterly, _____________________ Report (which report sets forth, among other things, Party B’s annual reserves report, including its proved developed producing reserves) or any similar report prepared with respect to Party B.”</w:t>
      </w:r>
    </w:p>
    <w:p>
      <w:pPr>
        <w:pStyle w:val="Normal"/>
        <w:widowControl/>
        <w:spacing w:lineRule="atLeast" w:line="240"/>
        <w:ind w:end="144"/>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Header"/>
        <w:widowControl/>
        <w:ind w:start="720" w:end="0"/>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Total Debt”</w:t>
      </w:r>
      <w:r>
        <w:rPr>
          <w:rFonts w:cs="Times New Roman" w:ascii="Times New Roman" w:hAnsi="Times New Roman"/>
          <w:sz w:val="22"/>
        </w:rPr>
        <w:t xml:space="preserve"> means consolidated indebtedness of [Party B] [Party B’s Credit Support Provider].</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within two (2) Local Business Days after such refusal.</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the occurrence thereof (or on or before the fifth Local Business Day after the occurrence thereof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Eligible Credit Support or upon or at any time after the occurrence of an Event of Default with respect to X,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Posted Collateral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or</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 or</w:t>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3.</w:t>
        <w:tab/>
        <w:t>“An Event of Default (as defined in the Master Agreement) has occurred and is continuing with respect to Account Party under the Master Agreement.”</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sectPr>
          <w:headerReference w:type="default" r:id="rId8"/>
          <w:headerReference w:type="first" r:id="rId9"/>
          <w:footerReference w:type="default" r:id="rId10"/>
          <w:footerReference w:type="first" r:id="rId11"/>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t>Form #1</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B:  Foreign Counterparty That is (i) Resident in a Treaty Jurisdiction</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and (ii) Acting Exclusively Through U.S. Branches or Offices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be effectively connected with its conduct of a trade or business in the United States.</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4224, or any successor form, (i) before the first Scheduled Payment Date under this Agreement, and thereafter prior to the first Scheduled Payment date in each successive taxable year of Party B, (ii) promptly upon reasonable demand by Party A, and (iii)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Form #3</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is (i) Resident in a</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Treaty Jurisdiction and (ii) Acting Exclusively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Through Non-U.S. Branches or Offices</w:t>
      </w:r>
    </w:p>
    <w:p>
      <w:pPr>
        <w:pStyle w:val="Normal"/>
        <w:widowControl/>
        <w:tabs>
          <w:tab w:val="clear" w:pos="720"/>
          <w:tab w:val="left" w:pos="117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Party B makes the following representation:</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22"/>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#4</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U.S. Counterparty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w:t>
        <w:tab/>
        <w:t>The following representation applies to Party A:</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A is a corporation organized under the laws of the State of Delaware.</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(ii)</w:t>
        <w:tab/>
        <w:t>The following representation applies to Party B:</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B is a [corporation/partnership/limited liability company (that is treated as a partnership for federal income tax purposes)] organized under the laws of the State of [specify].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  None.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#5</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br/>
        <w:t xml:space="preserve">Party B: Foreign Counterparty That is (i) Resident in a Treaty </w:t>
        <w:br/>
        <w:t>Jurisdiction and (ii) Acting Through Branches, Agencies or Offices Located</w:t>
        <w:br/>
        <w:t>Both In and Outside of the U.S.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480"/>
        <w:ind w:hanging="720" w:start="720" w:end="0"/>
        <w:jc w:val="both"/>
        <w:rPr>
          <w:rFonts w:ascii="Times New Roman" w:hAnsi="Times New Roman" w:cs="Times New Roman"/>
          <w:sz w:val="22"/>
        </w:rPr>
      </w:pPr>
      <w:r>
        <w:rPr>
          <w:rFonts w:cs="Times New Roman" w:ascii="Times New Roman" w:hAnsi="Times New Roman"/>
          <w:sz w:val="22"/>
        </w:rPr>
        <w:t>If such representation applies, then: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with respect to Party A,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(2) With respect to such Transactions, each payment received or to be received by Party B in connection with this Agreement will be effectively connected with its conduct of a trade or business in the United States.</w:t>
      </w:r>
    </w:p>
    <w:p>
      <w:pPr>
        <w:pStyle w:val="Normal"/>
        <w:widowControl/>
        <w:tabs>
          <w:tab w:val="left" w:pos="720" w:leader="none"/>
          <w:tab w:val="left" w:pos="1440" w:leader="none"/>
          <w:tab w:val="left" w:pos="2880" w:leader="none"/>
        </w:tabs>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(iii)</w:t>
        <w:tab/>
        <w:t>Party B makes the following representation:</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23"/>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in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 Is Not Eligible</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 xml:space="preserve">for Treaty Benefits and (ii) May Act Through Branches, Offices or </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Agencies Located Both In and Outside of the U.S.</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B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With respect to such Transactions, each payment received or to be received by it in connection with this Agreement will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Style w:val="FootnoteCharacters"/>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jc w:val="both"/>
        <w:rPr>
          <w:rStyle w:val="FootnoteCharacters"/>
          <w:rFonts w:ascii="Times New Roman" w:hAnsi="Times New Roman" w:cs="Times New Roman"/>
          <w:sz w:val="22"/>
        </w:rPr>
      </w:pPr>
      <w:r>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#7</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Foreign Counterparty That is (i) Not Eligible</w:t>
      </w:r>
    </w:p>
    <w:p>
      <w:pPr>
        <w:pStyle w:val="Normal"/>
        <w:widowControl/>
        <w:jc w:val="center"/>
        <w:rPr>
          <w:rFonts w:ascii="Times New Roman" w:hAnsi="Times New Roman" w:cs="Times New Roman"/>
          <w:b/>
          <w:sz w:val="22"/>
        </w:rPr>
      </w:pPr>
      <w:r>
        <w:rPr>
          <w:rFonts w:cs="Times New Roman" w:ascii="Times New Roman" w:hAnsi="Times New Roman"/>
          <w:b/>
          <w:sz w:val="22"/>
        </w:rPr>
        <w:t>For Treaty Benefits and (ii) Will Act Exclusively Through</w:t>
      </w:r>
    </w:p>
    <w:p>
      <w:pPr>
        <w:pStyle w:val="Normal"/>
        <w:widowControl/>
        <w:jc w:val="center"/>
        <w:rPr>
          <w:rFonts w:ascii="Times New Roman" w:hAnsi="Times New Roman" w:cs="Times New Roman"/>
          <w:b/>
          <w:sz w:val="22"/>
        </w:rPr>
      </w:pPr>
      <w:r>
        <w:rPr>
          <w:rFonts w:cs="Times New Roman" w:ascii="Times New Roman" w:hAnsi="Times New Roman"/>
          <w:b/>
          <w:sz w:val="22"/>
        </w:rPr>
        <w:t>Branches, Offices or Agencies Outside the U.S.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xml:space="preserve">( )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#8</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 Party B: Foreign Government, Foreign Government Agency, or International Agency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r>
        <w:rPr>
          <w:rStyle w:val="FootnoteCharacters"/>
          <w:rStyle w:val="FootnoteReference"/>
          <w:rFonts w:cs="Times New Roman" w:ascii="Times New Roman" w:hAnsi="Times New Roman"/>
          <w:sz w:val="22"/>
        </w:rPr>
        <w:footnoteReference w:id="24"/>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[The following representation is appropriate if Party B is a foreign government:</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(1)</w:t>
        <w:tab/>
        <w:t>Party B is a foreign sovereign, including</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widowControl/>
        <w:spacing w:lineRule="exact" w:line="240" w:before="240" w:after="0"/>
        <w:ind w:hanging="720" w:start="2160" w:end="0"/>
        <w:jc w:val="both"/>
        <w:rPr/>
      </w:pPr>
      <w:r>
        <w:rPr>
          <w:rFonts w:cs="Times New Roman" w:ascii="Times New Roman" w:hAnsi="Times New Roman"/>
          <w:sz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rFonts w:cs="Times New Roman" w:ascii="Times New Roman" w:hAnsi="Times New Roman"/>
          <w:sz w:val="22"/>
          <w:u w:val="single"/>
        </w:rPr>
        <w:t>and</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(iii)</w:t>
        <w:tab/>
        <w:t>whose assets vest in the foreign sovereign upon distribution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(2)</w:t>
        <w:tab/>
        <w:t>All the net earnings of Party B inure to the benefit of a foreign sovereign and none of the net earnings of Party B inure to the benefit of any private person.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(3)</w:t>
        <w:tab/>
        <w:t>The Agreement was entered into in the execution of governmental financial or monetary policy (including the implementation or effectuation of such policy).</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(4)</w:t>
        <w:tab/>
        <w:t>No payment received or to be received by Party B in connection with this Agreement will be in respect of a commercial activity.]</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[The following representation is appropriate if Party B is an international organization: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Party B is a public international organization entitled to enjoy privileges, exemptions, and immunities as an international organization under the International Organizations Immunities Act, 22 United States Code Section 288-288f.]</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keepNext w:val="true"/>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keepNext w:val="true"/>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r>
        <w:rPr>
          <w:rStyle w:val="FootnoteCharacters"/>
          <w:rStyle w:val="FootnoteReference"/>
          <w:rFonts w:cs="Times New Roman" w:ascii="Times New Roman" w:hAnsi="Times New Roman"/>
          <w:sz w:val="22"/>
        </w:rPr>
        <w:footnoteReference w:id="25"/>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before December 31st of each third successive calendar year,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in duplicate a United States Internal Revenue Service Form W-8, or any successor form, (i) Before the first Scheduled Payment Date under this Agreement, before December 31st of each second successive calendar year, (ii) before the first Scheduled Payment Date of each successive taxable year of Party B,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26"/>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8709, or any successor form,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pStyle w:val="Justified"/>
        <w:widowControl/>
        <w:spacing w:lineRule="exact" w:line="240" w:before="0" w:after="0"/>
        <w:rPr>
          <w:rFonts w:ascii="Times New Roman" w:hAnsi="Times New Roman" w:cs="Times New Roman"/>
          <w:b/>
        </w:rPr>
      </w:pPr>
      <w:r>
        <w:rPr>
          <w:rFonts w:cs="Times New Roman" w:ascii="Times New Roman" w:hAnsi="Times New Roman"/>
        </w:rPr>
        <w:t>FORM DATE 11/6/96</w:t>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keepLines/>
        <w:widowControl/>
        <w:spacing w:lineRule="exact" w:line="240"/>
        <w:jc w:val="center"/>
        <w:rPr>
          <w:rFonts w:ascii="Times New Roman" w:hAnsi="Times New Roman" w:cs="Times New Roman"/>
          <w:sz w:val="22"/>
        </w:rPr>
      </w:pPr>
      <w:r>
        <w:rPr>
          <w:rFonts w:cs="Times New Roman" w:ascii="Times New Roman" w:hAnsi="Times New Roman"/>
          <w:sz w:val="22"/>
        </w:rPr>
      </w:r>
    </w:p>
    <w:sectPr>
      <w:headerReference w:type="default" r:id="rId36"/>
      <w:headerReference w:type="first" r:id="rId37"/>
      <w:footerReference w:type="default" r:id="rId38"/>
      <w:footerReference w:type="first" r:id="rId39"/>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 w:name="MS LineDra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rPr>
    </w:pPr>
    <w:r>
      <w:rPr>
        <w:rFonts w:cs="Times New Roman" w:ascii="Times New Roman" w:hAnsi="Times New Roman"/>
      </w:rPr>
      <w:t>EXHIBIT A</w:t>
    </w:r>
  </w:p>
  <w:p>
    <w:pPr>
      <w:pStyle w:val="Expanded"/>
      <w:widowControl/>
      <w:spacing w:before="0" w:after="0"/>
      <w:rPr>
        <w:rFonts w:ascii="Times New Roman" w:hAnsi="Times New Roman" w:cs="Times New Roman"/>
        <w:b w:val="false"/>
        <w:caps w:val="false"/>
        <w:smallCaps w:val="false"/>
        <w:spacing w:val="0"/>
        <w:sz w:val="20"/>
      </w:rPr>
    </w:pPr>
    <w:r>
      <w:rPr>
        <w:rFonts w:cs="Times New Roman" w:ascii="Times New Roman" w:hAnsi="Times New Roman"/>
        <w:b w:val="false"/>
        <w:caps w:val="false"/>
        <w:smallCaps w:val="false"/>
        <w:spacing w:val="0"/>
        <w:sz w:val="20"/>
      </w:rPr>
      <w:t>to Paragraph 13</w:t>
    </w:r>
  </w:p>
  <w:p>
    <w:pPr>
      <w:pStyle w:val="Normal"/>
      <w:widowControl/>
      <w:jc w:val="center"/>
      <w:rPr>
        <w:rFonts w:ascii="Times New Roman" w:hAnsi="Times New Roman" w:cs="Times New Roman"/>
      </w:rPr>
    </w:pPr>
    <w:r>
      <w:rPr>
        <w:rFonts w:cs="Times New Roman" w:ascii="Times New Roman" w:hAnsi="Times New Roman"/>
      </w:rPr>
      <w:t>of 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Schedule 1</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rFonts w:ascii="MS LineDraw" w:hAnsi="MS LineDraw" w:cs="MS LineDraw"/>
        <w:sz w:val="14"/>
      </w:rPr>
    </w:pPr>
    <w:r>
      <w:rPr>
        <w:rFonts w:cs="MS LineDraw" w:ascii="MS LineDraw" w:hAnsi="MS LineDraw"/>
        <w:sz w:val="1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if Credit Support Amount will not be returned during the term of the Master Agreement.</w:t>
      </w:r>
    </w:p>
  </w:footnote>
  <w:footnote w:id="3">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for bank counterparty; likely insert for industrial counterparty.</w:t>
      </w:r>
    </w:p>
  </w:footnote>
  <w:footnote w:id="4">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Credit wants to specify Independent Amount in confirmations, instead of adding dollar amount, add:  “, plus any Independent Amount specified in any Confirmation.”</w:t>
      </w:r>
    </w:p>
  </w:footnote>
  <w:footnote w:id="5">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two rated guarantors, then delete (i) the phrase "</w:t>
      </w:r>
      <w:r>
        <w:rPr>
          <w:rFonts w:cs="Times New Roman" w:ascii="Times New Roman" w:hAnsi="Times New Roman"/>
          <w:sz w:val="18"/>
          <w:u w:val="single"/>
        </w:rPr>
        <w:t>the party (or</w:t>
      </w:r>
      <w:r>
        <w:rPr>
          <w:rFonts w:cs="Times New Roman" w:ascii="Times New Roman" w:hAnsi="Times New Roman"/>
          <w:sz w:val="18"/>
        </w:rPr>
        <w:t>" and (ii) parenthesis after "</w:t>
      </w:r>
      <w:r>
        <w:rPr>
          <w:rFonts w:cs="Times New Roman" w:ascii="Times New Roman" w:hAnsi="Times New Roman"/>
          <w:sz w:val="18"/>
          <w:u w:val="single"/>
        </w:rPr>
        <w:t>Corp</w:t>
      </w:r>
      <w:r>
        <w:rPr>
          <w:rFonts w:cs="Times New Roman" w:ascii="Times New Roman" w:hAnsi="Times New Roman"/>
          <w:sz w:val="18"/>
        </w:rPr>
        <w:t>." and (iii) brackets surrounding the phrase "</w:t>
      </w:r>
      <w:r>
        <w:rPr>
          <w:rFonts w:cs="Times New Roman" w:ascii="Times New Roman" w:hAnsi="Times New Roman"/>
          <w:sz w:val="18"/>
          <w:u w:val="single"/>
        </w:rPr>
        <w:t>in the case of Counterparty,                and</w:t>
      </w:r>
      <w:r>
        <w:rPr>
          <w:rFonts w:cs="Times New Roman" w:ascii="Times New Roman" w:hAnsi="Times New Roman"/>
          <w:sz w:val="18"/>
        </w:rPr>
        <w:t>".</w:t>
      </w:r>
    </w:p>
  </w:footnote>
  <w:footnote w:id="6">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as appropriate.</w:t>
      </w:r>
    </w:p>
  </w:footnote>
  <w:footnote w:id="7">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For utilities, insert “[X]” for Party B only.</w:t>
      </w:r>
    </w:p>
  </w:footnote>
  <w:footnote w:id="8">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for paper and pulp transactions only.</w:t>
      </w:r>
    </w:p>
  </w:footnote>
  <w:footnote w:id="9">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only when Party B is required to immediately segregate cash collateral.</w:t>
      </w:r>
    </w:p>
  </w:footnote>
  <w:footnote w:id="10">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Standard insert for Party B.</w:t>
      </w:r>
    </w:p>
  </w:footnote>
  <w:footnote w:id="11">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language, in replacement of the preceding language, only if Party B has to immediately segregate cash collateral.</w:t>
      </w:r>
    </w:p>
  </w:footnote>
  <w:footnote w:id="12">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Standard language.</w:t>
      </w:r>
    </w:p>
  </w:footnote>
  <w:footnote w:id="13">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language only when Party B is required to immediately segregate cash collateral.</w:t>
      </w:r>
    </w:p>
  </w:footnote>
  <w:footnote w:id="14">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language only when Party B is required to immediately segregate cash collateral, otherwise use preceding language.</w:t>
      </w:r>
    </w:p>
  </w:footnote>
  <w:footnote w:id="15">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bracketed language only when Party B is required to immediately segregate cash collateral.</w:t>
      </w:r>
    </w:p>
  </w:footnote>
  <w:footnote w:id="16">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Standard language.</w:t>
      </w:r>
    </w:p>
  </w:footnote>
  <w:footnote w:id="17">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bracketed language only when Party B is required to immediately segregate cash collateral.</w:t>
      </w:r>
    </w:p>
  </w:footnote>
  <w:footnote w:id="18">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if Counterparty is a U.S. bank or thrift subject to FDIA.</w:t>
      </w:r>
    </w:p>
  </w:footnote>
  <w:footnote w:id="19">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only if Credit tells us to.</w:t>
      </w:r>
    </w:p>
  </w:footnote>
  <w:footnote w:id="20">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for stairstep threshold.</w:t>
      </w:r>
    </w:p>
  </w:footnote>
  <w:footnote w:id="21">
    <w:p>
      <w:pPr>
        <w:pStyle w:val="FootnoteText"/>
        <w:rPr/>
      </w:pPr>
      <w:r>
        <w:rPr>
          <w:rStyle w:val="FootnoteCharacters"/>
        </w:rPr>
        <w:footnoteRef/>
      </w:r>
      <w:r>
        <w:rPr>
          <w:sz w:val="16"/>
        </w:rPr>
        <w:t xml:space="preserve"> </w:t>
      </w:r>
      <w:r>
        <w:rPr>
          <w:sz w:val="16"/>
        </w:rPr>
        <w:t>Insert only if the Minimum Transfer Amount is material.</w:t>
      </w:r>
    </w:p>
  </w:footnote>
  <w:footnote w:id="22">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23">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24">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This representation is appropriate if Party B is entitled to treaty benefits.</w:t>
      </w:r>
    </w:p>
  </w:footnote>
  <w:footnote w:id="25">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Note:  A Form W-8 is helpful but not necessary.  Neither Form W-8 nor Form 8709 is necessary if Form 1001 is received and the relevant treaty provides for a zero rate of withholding on interest.</w:t>
      </w:r>
    </w:p>
  </w:footnote>
  <w:footnote w:id="26">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Party B has the designation "Bank" in its name.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MS LineDraw" w:hAnsi="MS LineDraw" w:cs="MS LineDraw"/>
        <w:sz w:val="24"/>
      </w:rPr>
    </w:pPr>
    <w:r>
      <w:rPr>
        <w:rFonts w:cs="MS LineDraw" w:ascii="MS LineDraw" w:hAnsi="MS LineDraw"/>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Courier" w:hAnsi="Courier" w:cs="Courier"/>
        <w:sz w:val="24"/>
      </w:rPr>
    </w:pPr>
    <w:r>
      <w:rPr>
        <w:rFonts w:cs="Courier" w:ascii="Courier" w:hAnsi="Courier"/>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896" w:leader="none"/>
        <w:tab w:val="right" w:pos="9360" w:leader="none"/>
      </w:tabs>
      <w:spacing w:lineRule="exact" w:line="240"/>
      <w:ind w:start="72" w:end="-1152"/>
      <w:rPr>
        <w:rFonts w:ascii="MS LineDraw" w:hAnsi="MS LineDraw" w:cs="MS LineDraw"/>
        <w:sz w:val="24"/>
      </w:rPr>
    </w:pPr>
    <w:r>
      <w:rPr>
        <w:rFonts w:cs="MS LineDraw" w:ascii="MS LineDraw" w:hAnsi="MS LineDraw"/>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spacing w:lineRule="exact" w:line="240" w:before="240" w:after="0"/>
      <w:ind w:firstLine="180" w:start="0" w:end="0"/>
      <w:jc w:val="both"/>
    </w:pPr>
    <w:rPr>
      <w:rFonts w:ascii="Times New Roman" w:hAnsi="Times New Roman" w:cs="Times New Roman"/>
      <w:sz w:val="22"/>
    </w:rPr>
  </w:style>
  <w:style w:type="paragraph" w:styleId="BodyTextIndent2">
    <w:name w:val="Body Text Indent 2"/>
    <w:basedOn w:val="Normal"/>
    <w:qFormat/>
    <w:pPr>
      <w:widowControl/>
      <w:ind w:hanging="0" w:start="-18" w:end="0"/>
    </w:pPr>
    <w:rPr>
      <w:rFonts w:ascii="Times New Roman" w:hAnsi="Times New Roman" w:cs="Times New Roman"/>
      <w:b/>
      <w:sz w:val="22"/>
      <w:u w:val="single"/>
    </w:rPr>
  </w:style>
  <w:style w:type="paragraph" w:styleId="BodyTextIndent3">
    <w:name w:val="Body Text Indent 3"/>
    <w:basedOn w:val="Normal"/>
    <w:qFormat/>
    <w:pPr>
      <w:widowControl/>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footnotes" Target="footnotes.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1999-08-17T16:28:00Z</dcterms:created>
  <dc:creator>ECT</dc:creator>
  <dc:description>10/14/93</dc:description>
  <dc:language>en-CA</dc:language>
  <cp:lastModifiedBy>tjones</cp:lastModifiedBy>
  <cp:lastPrinted>1999-08-17T13:43:00Z</cp:lastPrinted>
  <dcterms:modified xsi:type="dcterms:W3CDTF">1999-08-17T16:28:00Z</dcterms:modified>
  <cp:revision>2</cp:revision>
  <dc:subject>2nd Draft 8/10/93rmj</dc:subject>
  <dc:title>SCHEDULE TO THE MASTER AGREEMENT</dc:title>
</cp:coreProperties>
</file>