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notes.xml" ContentType="application/vnd.openxmlformats-officedocument.wordprocessingml.footnote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ISDA EXHIBITS DOCUMENT</w:t>
      </w:r>
    </w:p>
    <w:p>
      <w:pPr>
        <w:pStyle w:val="Normal"/>
        <w:jc w:val="end"/>
        <w:rPr>
          <w:b/>
          <w:bCs/>
          <w:sz w:val="22"/>
          <w:szCs w:val="22"/>
          <w:u w:val="single"/>
        </w:rPr>
      </w:pPr>
      <w:r>
        <w:rPr>
          <w:b/>
          <w:bCs/>
          <w:sz w:val="22"/>
          <w:szCs w:val="22"/>
          <w:u w:val="single"/>
        </w:rPr>
        <w:t>DRAFT OF 08/18/2000</w:t>
      </w:r>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2000</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_____________________________________, a _____________ organized under the law of the ____________ of ________ (“Party B”)</w:t>
            </w:r>
          </w:p>
          <w:p>
            <w:pPr>
              <w:pStyle w:val="Normal"/>
              <w:tabs>
                <w:tab w:val="clear" w:pos="720"/>
                <w:tab w:val="center" w:pos="5760" w:leader="none"/>
              </w:tabs>
              <w:spacing w:before="240" w:after="0"/>
              <w:jc w:val="center"/>
              <w:rPr>
                <w:b/>
                <w:bCs/>
                <w:color w:val="0000FF"/>
                <w:sz w:val="22"/>
                <w:szCs w:val="22"/>
              </w:rPr>
            </w:pPr>
            <w:r>
              <w:rPr>
                <w:b/>
                <w:bCs/>
                <w:color w:val="0000FF"/>
                <w:sz w:val="22"/>
                <w:szCs w:val="22"/>
              </w:rPr>
              <w:t>[_____________________________, a [sociedad anonima de capital variable][sociedad de responsibilidad limitada][________________ organized under the law of Mexico (“Party B”)]</w:t>
            </w:r>
            <w:r>
              <w:rPr>
                <w:rStyle w:val="FootnoteCharacters"/>
                <w:rStyle w:val="FootnoteReference"/>
                <w:b/>
                <w:bCs/>
                <w:color w:val="0000FF"/>
                <w:sz w:val="20"/>
                <w:szCs w:val="20"/>
              </w:rPr>
              <w:footnoteReference w:id="2"/>
            </w:r>
          </w:p>
          <w:p>
            <w:pPr>
              <w:pStyle w:val="Normal"/>
              <w:tabs>
                <w:tab w:val="clear" w:pos="720"/>
                <w:tab w:val="center" w:pos="5760" w:leader="none"/>
              </w:tabs>
              <w:spacing w:before="240" w:after="0"/>
              <w:jc w:val="center"/>
              <w:rPr>
                <w:b/>
                <w:bCs/>
                <w:color w:val="808000"/>
                <w:sz w:val="22"/>
                <w:szCs w:val="22"/>
              </w:rPr>
            </w:pPr>
            <w:r>
              <w:rPr>
                <w:b/>
                <w:bCs/>
                <w:color w:val="808000"/>
                <w:sz w:val="22"/>
                <w:szCs w:val="22"/>
              </w:rPr>
              <w:t>[_____________________________________, a ________________ organized under the law of Argentina (“Party B”)]</w:t>
            </w:r>
            <w:r>
              <w:rPr>
                <w:rStyle w:val="FootnoteCharacters"/>
                <w:rStyle w:val="FootnoteReference"/>
                <w:b/>
                <w:bCs/>
                <w:color w:val="808000"/>
                <w:sz w:val="20"/>
                <w:szCs w:val="20"/>
              </w:rPr>
              <w:footnoteReference w:id="3"/>
            </w:r>
          </w:p>
        </w:tc>
      </w:tr>
      <w:tr>
        <w:trPr/>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ENRON CANADA CORP., a corporation organized under the law of the Province of Alberta</w:t>
            </w:r>
          </w:p>
          <w:p>
            <w:pPr>
              <w:pStyle w:val="Normal"/>
              <w:tabs>
                <w:tab w:val="clear" w:pos="720"/>
                <w:tab w:val="center" w:pos="5760" w:leader="none"/>
              </w:tabs>
              <w:jc w:val="center"/>
              <w:rPr>
                <w:b/>
                <w:bCs/>
                <w:color w:val="800080"/>
                <w:sz w:val="22"/>
                <w:szCs w:val="22"/>
              </w:rPr>
            </w:pPr>
            <w:r>
              <w:rPr>
                <w:b/>
                <w:bCs/>
                <w:color w:val="800080"/>
                <w:sz w:val="22"/>
                <w:szCs w:val="22"/>
              </w:rPr>
              <w:t>(“Party A”), and</w:t>
            </w:r>
          </w:p>
        </w:tc>
        <w:tc>
          <w:tcPr>
            <w:tcW w:w="4788" w:type="dxa"/>
            <w:tcBorders/>
          </w:tcPr>
          <w:p>
            <w:pPr>
              <w:pStyle w:val="Normal"/>
              <w:tabs>
                <w:tab w:val="clear" w:pos="720"/>
                <w:tab w:val="center" w:pos="5760" w:leader="none"/>
              </w:tabs>
              <w:spacing w:before="240" w:after="0"/>
              <w:jc w:val="center"/>
              <w:rPr>
                <w:b/>
                <w:bCs/>
                <w:color w:val="800080"/>
                <w:sz w:val="22"/>
                <w:szCs w:val="22"/>
              </w:rPr>
            </w:pPr>
            <w:r>
              <w:rPr>
                <w:b/>
                <w:bCs/>
                <w:color w:val="800080"/>
                <w:sz w:val="22"/>
                <w:szCs w:val="22"/>
              </w:rPr>
              <w:t xml:space="preserve">_____________________________________, a _____________ organized under the law of the Province of ________ [a corporation incorporated under the </w:t>
            </w:r>
            <w:r>
              <w:rPr>
                <w:b/>
                <w:bCs/>
                <w:i/>
                <w:iCs/>
                <w:color w:val="800080"/>
                <w:sz w:val="22"/>
                <w:szCs w:val="22"/>
              </w:rPr>
              <w:t>Canada Business Corporations Act</w:t>
            </w:r>
            <w:r>
              <w:rPr>
                <w:b/>
                <w:bCs/>
                <w:color w:val="800080"/>
                <w:sz w:val="22"/>
                <w:szCs w:val="22"/>
              </w:rPr>
              <w:t>] (“Party B”)</w:t>
            </w:r>
            <w:r>
              <w:rPr>
                <w:rStyle w:val="FootnoteCharacters"/>
                <w:rStyle w:val="FootnoteReference"/>
                <w:b/>
                <w:bCs/>
                <w:color w:val="800080"/>
                <w:sz w:val="20"/>
                <w:szCs w:val="20"/>
              </w:rPr>
              <w:footnoteReference w:id="4"/>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tabs>
          <w:tab w:val="clear" w:pos="720"/>
          <w:tab w:val="left" w:pos="1080" w:leader="none"/>
        </w:tabs>
        <w:ind w:start="720" w:end="0"/>
        <w:jc w:val="both"/>
        <w:rPr>
          <w:sz w:val="22"/>
          <w:szCs w:val="22"/>
        </w:rPr>
      </w:pPr>
      <w:r>
        <w:rPr>
          <w:color w:val="FF0000"/>
          <w:sz w:val="22"/>
          <w:szCs w:val="22"/>
        </w:rPr>
        <w:t>[</w:t>
      </w:r>
      <w:r>
        <w:rPr>
          <w:sz w:val="22"/>
          <w:szCs w:val="22"/>
        </w:rPr>
        <w:t xml:space="preserve">(C) </w:t>
      </w:r>
      <w:r>
        <w:rPr>
          <w:b/>
          <w:bCs/>
          <w:sz w:val="22"/>
          <w:szCs w:val="22"/>
        </w:rPr>
        <w:t>“Credit Support Amount”</w:t>
      </w:r>
      <w:r>
        <w:rPr>
          <w:sz w:val="22"/>
          <w:szCs w:val="22"/>
        </w:rPr>
        <w:t xml:space="preserve"> has the meaning specified in Paragraph 3.</w:t>
      </w:r>
      <w:r>
        <w:rPr>
          <w:rStyle w:val="FootnoteCharacters"/>
          <w:rStyle w:val="FootnoteReference"/>
          <w:color w:val="FF0000"/>
          <w:sz w:val="22"/>
          <w:szCs w:val="22"/>
        </w:rPr>
        <w:footnoteReference w:id="5"/>
      </w:r>
      <w:r>
        <w:rPr>
          <w:color w:val="FF0000"/>
          <w:sz w:val="22"/>
          <w:szCs w:val="22"/>
        </w:rPr>
        <w:t>]</w:t>
      </w:r>
    </w:p>
    <w:p>
      <w:pPr>
        <w:pStyle w:val="Normal"/>
        <w:tabs>
          <w:tab w:val="clear" w:pos="720"/>
          <w:tab w:val="left" w:pos="1080" w:leader="none"/>
        </w:tabs>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 xml:space="preserve">100% </w:t>
            </w:r>
            <w:r>
              <w:rPr>
                <w:color w:val="FF0000"/>
                <w:sz w:val="22"/>
                <w:szCs w:val="22"/>
              </w:rPr>
              <w:t>[</w:t>
            </w:r>
            <w:r>
              <w:rPr>
                <w:sz w:val="22"/>
                <w:szCs w:val="22"/>
              </w:rPr>
              <w:t>unless either (i) a Letter of Credit Default shall apply with respect to such Letter of Credit or (ii) twenty (20) or fewer Local Business Days remain prior to the expiration of such Letter of Credit, in which case the Valuation Percentage shall be 0.</w:t>
            </w:r>
            <w:r>
              <w:rPr>
                <w:color w:val="FF0000"/>
                <w:sz w:val="22"/>
                <w:szCs w:val="22"/>
              </w:rPr>
              <w:t>]</w:t>
            </w:r>
            <w:r>
              <w:rPr>
                <w:rStyle w:val="FootnoteCharacters"/>
                <w:rStyle w:val="FootnoteReference"/>
                <w:color w:val="FF0000"/>
                <w:sz w:val="22"/>
                <w:szCs w:val="22"/>
              </w:rPr>
              <w:footnoteReference w:id="6"/>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color w:val="000000"/>
          <w:sz w:val="22"/>
          <w:szCs w:val="22"/>
        </w:rPr>
      </w:pPr>
      <w:r>
        <w:rPr>
          <w:color w:val="000000"/>
          <w:sz w:val="22"/>
          <w:szCs w:val="22"/>
        </w:rPr>
        <w:t xml:space="preserve">(B)  </w:t>
      </w:r>
      <w:r>
        <w:rPr>
          <w:color w:val="FF0000"/>
          <w:sz w:val="22"/>
          <w:szCs w:val="22"/>
        </w:rPr>
        <w:t>[</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r>
        <w:rPr>
          <w:color w:val="FF0000"/>
          <w:sz w:val="22"/>
          <w:szCs w:val="22"/>
        </w:rPr>
        <w:t>]</w:t>
      </w:r>
    </w:p>
    <w:p>
      <w:pPr>
        <w:pStyle w:val="Normal"/>
        <w:ind w:start="720" w:end="0"/>
        <w:jc w:val="both"/>
        <w:rPr>
          <w:color w:val="000000"/>
          <w:sz w:val="22"/>
          <w:szCs w:val="22"/>
        </w:rPr>
      </w:pPr>
      <w:r>
        <w:rPr>
          <w:color w:val="000000"/>
          <w:sz w:val="22"/>
          <w:szCs w:val="22"/>
        </w:rPr>
      </w:r>
    </w:p>
    <w:p>
      <w:pPr>
        <w:pStyle w:val="Normal"/>
        <w:ind w:start="1080" w:end="0"/>
        <w:jc w:val="both"/>
        <w:rPr/>
      </w:pPr>
      <w:r>
        <w:rPr>
          <w:color w:val="FF0000"/>
          <w:sz w:val="22"/>
          <w:szCs w:val="22"/>
        </w:rPr>
        <w:t>[</w:t>
      </w:r>
      <w:r>
        <w:rPr>
          <w:b/>
          <w:bCs/>
          <w:color w:val="000000"/>
          <w:sz w:val="22"/>
          <w:szCs w:val="22"/>
        </w:rPr>
        <w:t>“Threshold”</w:t>
      </w:r>
      <w:r>
        <w:rPr>
          <w:color w:val="000000"/>
          <w:sz w:val="22"/>
          <w:szCs w:val="22"/>
        </w:rPr>
        <w:t xml:space="preserve"> means, with respect to a party (a) the amount set forth opposite the lowest Credit Rating for the party (or </w:t>
      </w:r>
      <w:r>
        <w:rPr>
          <w:color w:val="FF0000"/>
          <w:sz w:val="22"/>
          <w:szCs w:val="22"/>
        </w:rPr>
        <w:t>[</w:t>
      </w:r>
      <w:r>
        <w:rPr>
          <w:color w:val="000000"/>
          <w:sz w:val="22"/>
          <w:szCs w:val="22"/>
        </w:rPr>
        <w:t>in the case of Party B, ____________ and</w:t>
      </w:r>
      <w:r>
        <w:rPr>
          <w:color w:val="FF0000"/>
          <w:sz w:val="22"/>
          <w:szCs w:val="22"/>
        </w:rPr>
        <w:t>]</w:t>
      </w:r>
      <w:r>
        <w:rPr>
          <w:color w:val="000000"/>
          <w:sz w:val="22"/>
          <w:szCs w:val="22"/>
        </w:rPr>
        <w:t xml:space="preserve"> in the case of Party A, Enron Corp.)</w:t>
      </w:r>
      <w:r>
        <w:rPr>
          <w:rStyle w:val="FootnoteCharacters"/>
          <w:rStyle w:val="FootnoteReference"/>
          <w:color w:val="FF0000"/>
          <w:sz w:val="22"/>
          <w:szCs w:val="22"/>
        </w:rPr>
        <w:footnoteReference w:id="7"/>
      </w:r>
      <w:r>
        <w:rPr>
          <w:color w:val="000000"/>
          <w:sz w:val="22"/>
          <w:szCs w:val="22"/>
        </w:rPr>
        <w:t xml:space="preserve"> on the relevant date of determination; or (b) zero if on the relevant date of determination (i) the entity referred to in clause (a) above does not have a Credit Rating from </w:t>
      </w:r>
      <w:r>
        <w:rPr>
          <w:color w:val="FF0000"/>
          <w:sz w:val="22"/>
          <w:szCs w:val="22"/>
        </w:rPr>
        <w:t>[</w:t>
      </w:r>
      <w:r>
        <w:rPr>
          <w:color w:val="000000"/>
          <w:sz w:val="22"/>
          <w:szCs w:val="22"/>
        </w:rPr>
        <w:t>either S&amp;P or Moody's</w:t>
      </w:r>
      <w:r>
        <w:rPr>
          <w:rStyle w:val="FootnoteCharacters"/>
          <w:rStyle w:val="FootnoteReference"/>
          <w:color w:val="FF0000"/>
          <w:sz w:val="22"/>
          <w:szCs w:val="22"/>
        </w:rPr>
        <w:footnoteReference w:id="8"/>
      </w:r>
      <w:r>
        <w:rPr>
          <w:color w:val="FF0000"/>
          <w:sz w:val="22"/>
          <w:szCs w:val="22"/>
        </w:rPr>
        <w:t>][</w:t>
      </w:r>
      <w:r>
        <w:rPr>
          <w:sz w:val="22"/>
          <w:szCs w:val="22"/>
        </w:rPr>
        <w:t>both S&amp;P and Moody’s</w:t>
      </w:r>
      <w:r>
        <w:rPr>
          <w:color w:val="FF0000"/>
          <w:sz w:val="22"/>
          <w:szCs w:val="22"/>
        </w:rPr>
        <w:t>]</w:t>
      </w:r>
      <w:r>
        <w:rPr>
          <w:color w:val="000000"/>
          <w:sz w:val="22"/>
          <w:szCs w:val="22"/>
        </w:rPr>
        <w:t>, or (ii) an Event of Default or Potential Event of Default with respect to such party has occurred and is continuing:</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sz w:val="22"/>
          <w:szCs w:val="22"/>
        </w:rPr>
      </w:pPr>
      <w:r>
        <w:rPr>
          <w:sz w:val="22"/>
          <w:szCs w:val="22"/>
        </w:rPr>
      </w:r>
    </w:p>
    <w:tbl>
      <w:tblPr>
        <w:tblW w:w="7380" w:type="dxa"/>
        <w:jc w:val="start"/>
        <w:tblInd w:w="2088" w:type="dxa"/>
        <w:tblLayout w:type="fixed"/>
        <w:tblCellMar>
          <w:top w:w="0" w:type="dxa"/>
          <w:start w:w="108" w:type="dxa"/>
          <w:bottom w:w="0" w:type="dxa"/>
          <w:end w:w="108" w:type="dxa"/>
        </w:tblCellMar>
      </w:tblPr>
      <w:tblGrid>
        <w:gridCol w:w="2520"/>
        <w:gridCol w:w="2381"/>
        <w:gridCol w:w="2479"/>
      </w:tblGrid>
      <w:tr>
        <w:trPr/>
        <w:tc>
          <w:tcPr>
            <w:tcW w:w="2520" w:type="dxa"/>
            <w:tcBorders/>
          </w:tcPr>
          <w:p>
            <w:pPr>
              <w:pStyle w:val="Normal"/>
              <w:rPr>
                <w:sz w:val="22"/>
                <w:szCs w:val="22"/>
              </w:rPr>
            </w:pPr>
            <w:r>
              <w:rPr>
                <w:b/>
                <w:bCs/>
                <w:sz w:val="22"/>
                <w:szCs w:val="22"/>
                <w:u w:val="single"/>
              </w:rPr>
              <w:t>THRESHOLD</w:t>
            </w:r>
          </w:p>
        </w:tc>
        <w:tc>
          <w:tcPr>
            <w:tcW w:w="2381" w:type="dxa"/>
            <w:tcBorders/>
          </w:tcPr>
          <w:p>
            <w:pPr>
              <w:pStyle w:val="BodyTextIndent2"/>
              <w:rPr/>
            </w:pPr>
            <w:r>
              <w:rPr/>
              <w:t>S&amp;P CREDIT RATING</w:t>
            </w:r>
          </w:p>
          <w:p>
            <w:pPr>
              <w:pStyle w:val="Normal"/>
              <w:ind w:start="-18" w:end="0"/>
              <w:rPr>
                <w:sz w:val="22"/>
                <w:szCs w:val="22"/>
              </w:rPr>
            </w:pPr>
            <w:r>
              <w:rPr>
                <w:sz w:val="22"/>
                <w:szCs w:val="22"/>
              </w:rPr>
            </w:r>
          </w:p>
        </w:tc>
        <w:tc>
          <w:tcPr>
            <w:tcW w:w="2479" w:type="dxa"/>
            <w:tcBorders/>
          </w:tcPr>
          <w:p>
            <w:pPr>
              <w:pStyle w:val="Normal"/>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r>
      <w:tr>
        <w:trPr/>
        <w:tc>
          <w:tcPr>
            <w:tcW w:w="2520" w:type="dxa"/>
            <w:tcBorders/>
          </w:tcPr>
          <w:p>
            <w:pPr>
              <w:pStyle w:val="Normal"/>
              <w:rPr>
                <w:sz w:val="22"/>
                <w:szCs w:val="22"/>
              </w:rPr>
            </w:pPr>
            <w:r>
              <w:rPr>
                <w:sz w:val="22"/>
                <w:szCs w:val="22"/>
              </w:rPr>
              <w:t>U.S. $ ______________</w:t>
            </w:r>
          </w:p>
        </w:tc>
        <w:tc>
          <w:tcPr>
            <w:tcW w:w="2381" w:type="dxa"/>
            <w:tcBorders/>
          </w:tcPr>
          <w:p>
            <w:pPr>
              <w:pStyle w:val="Normal"/>
              <w:ind w:start="-18" w:end="0"/>
              <w:rPr>
                <w:sz w:val="22"/>
                <w:szCs w:val="22"/>
              </w:rPr>
            </w:pPr>
            <w:r>
              <w:rPr>
                <w:sz w:val="22"/>
                <w:szCs w:val="22"/>
              </w:rPr>
              <w:t>AA (or above)</w:t>
            </w:r>
          </w:p>
        </w:tc>
        <w:tc>
          <w:tcPr>
            <w:tcW w:w="2479" w:type="dxa"/>
            <w:tcBorders/>
          </w:tcPr>
          <w:p>
            <w:pPr>
              <w:pStyle w:val="Normal"/>
              <w:rPr>
                <w:sz w:val="22"/>
                <w:szCs w:val="22"/>
              </w:rPr>
            </w:pPr>
            <w:r>
              <w:rPr>
                <w:sz w:val="22"/>
                <w:szCs w:val="22"/>
              </w:rPr>
              <w:t>Aa2 (or above)</w:t>
            </w:r>
          </w:p>
        </w:tc>
      </w:tr>
      <w:tr>
        <w:trPr/>
        <w:tc>
          <w:tcPr>
            <w:tcW w:w="2520" w:type="dxa"/>
            <w:tcBorders/>
          </w:tcPr>
          <w:p>
            <w:pPr>
              <w:pStyle w:val="Normal"/>
              <w:rPr>
                <w:sz w:val="22"/>
                <w:szCs w:val="22"/>
              </w:rPr>
            </w:pPr>
            <w:r>
              <w:rPr>
                <w:sz w:val="22"/>
                <w:szCs w:val="22"/>
              </w:rPr>
              <w:t>U.S. $ ______________</w:t>
            </w:r>
          </w:p>
        </w:tc>
        <w:tc>
          <w:tcPr>
            <w:tcW w:w="2381" w:type="dxa"/>
            <w:tcBorders/>
          </w:tcPr>
          <w:p>
            <w:pPr>
              <w:pStyle w:val="Normal"/>
              <w:ind w:start="-18" w:end="0"/>
              <w:rPr>
                <w:sz w:val="22"/>
                <w:szCs w:val="22"/>
              </w:rPr>
            </w:pPr>
            <w:r>
              <w:rPr>
                <w:sz w:val="22"/>
                <w:szCs w:val="22"/>
              </w:rPr>
              <w:t>AA- to A-</w:t>
            </w:r>
          </w:p>
        </w:tc>
        <w:tc>
          <w:tcPr>
            <w:tcW w:w="2479" w:type="dxa"/>
            <w:tcBorders/>
          </w:tcPr>
          <w:p>
            <w:pPr>
              <w:pStyle w:val="Normal"/>
              <w:rPr>
                <w:sz w:val="22"/>
                <w:szCs w:val="22"/>
              </w:rPr>
            </w:pPr>
            <w:r>
              <w:rPr>
                <w:sz w:val="22"/>
                <w:szCs w:val="22"/>
              </w:rPr>
              <w:t>Aa3 to A3</w:t>
            </w:r>
          </w:p>
        </w:tc>
      </w:tr>
      <w:tr>
        <w:trPr/>
        <w:tc>
          <w:tcPr>
            <w:tcW w:w="2520" w:type="dxa"/>
            <w:tcBorders/>
          </w:tcPr>
          <w:p>
            <w:pPr>
              <w:pStyle w:val="Normal"/>
              <w:rPr>
                <w:sz w:val="22"/>
                <w:szCs w:val="22"/>
              </w:rPr>
            </w:pPr>
            <w:r>
              <w:rPr>
                <w:sz w:val="22"/>
                <w:szCs w:val="22"/>
              </w:rPr>
              <w:t>U.S. $ ______________</w:t>
            </w:r>
          </w:p>
        </w:tc>
        <w:tc>
          <w:tcPr>
            <w:tcW w:w="2381" w:type="dxa"/>
            <w:tcBorders/>
          </w:tcPr>
          <w:p>
            <w:pPr>
              <w:pStyle w:val="Normal"/>
              <w:ind w:start="-18" w:end="0"/>
              <w:rPr>
                <w:sz w:val="22"/>
                <w:szCs w:val="22"/>
              </w:rPr>
            </w:pPr>
            <w:r>
              <w:rPr>
                <w:sz w:val="22"/>
                <w:szCs w:val="22"/>
              </w:rPr>
              <w:t>BBB+ and BBB</w:t>
            </w:r>
          </w:p>
        </w:tc>
        <w:tc>
          <w:tcPr>
            <w:tcW w:w="2479" w:type="dxa"/>
            <w:tcBorders/>
          </w:tcPr>
          <w:p>
            <w:pPr>
              <w:pStyle w:val="Normal"/>
              <w:rPr>
                <w:sz w:val="22"/>
                <w:szCs w:val="22"/>
              </w:rPr>
            </w:pPr>
            <w:r>
              <w:rPr>
                <w:sz w:val="22"/>
                <w:szCs w:val="22"/>
              </w:rPr>
              <w:t>Baa1 and Baa2</w:t>
            </w:r>
          </w:p>
        </w:tc>
      </w:tr>
      <w:tr>
        <w:trPr/>
        <w:tc>
          <w:tcPr>
            <w:tcW w:w="2520" w:type="dxa"/>
            <w:tcBorders/>
          </w:tcPr>
          <w:p>
            <w:pPr>
              <w:pStyle w:val="Normal"/>
              <w:rPr>
                <w:sz w:val="22"/>
                <w:szCs w:val="22"/>
              </w:rPr>
            </w:pPr>
            <w:r>
              <w:rPr>
                <w:sz w:val="22"/>
                <w:szCs w:val="22"/>
              </w:rPr>
              <w:t>U.S. $ _____________</w:t>
            </w:r>
          </w:p>
        </w:tc>
        <w:tc>
          <w:tcPr>
            <w:tcW w:w="2381" w:type="dxa"/>
            <w:tcBorders/>
          </w:tcPr>
          <w:p>
            <w:pPr>
              <w:pStyle w:val="Normal"/>
              <w:ind w:start="-18" w:end="0"/>
              <w:rPr>
                <w:sz w:val="22"/>
                <w:szCs w:val="22"/>
              </w:rPr>
            </w:pPr>
            <w:r>
              <w:rPr>
                <w:sz w:val="22"/>
                <w:szCs w:val="22"/>
              </w:rPr>
              <w:t>BBB-</w:t>
            </w:r>
          </w:p>
        </w:tc>
        <w:tc>
          <w:tcPr>
            <w:tcW w:w="2479" w:type="dxa"/>
            <w:tcBorders/>
          </w:tcPr>
          <w:p>
            <w:pPr>
              <w:pStyle w:val="Normal"/>
              <w:rPr>
                <w:sz w:val="22"/>
                <w:szCs w:val="22"/>
              </w:rPr>
            </w:pPr>
            <w:r>
              <w:rPr>
                <w:sz w:val="22"/>
                <w:szCs w:val="22"/>
              </w:rPr>
              <w:t>Baa3</w:t>
            </w:r>
          </w:p>
        </w:tc>
      </w:tr>
      <w:tr>
        <w:trPr/>
        <w:tc>
          <w:tcPr>
            <w:tcW w:w="2520" w:type="dxa"/>
            <w:tcBorders/>
          </w:tcPr>
          <w:p>
            <w:pPr>
              <w:pStyle w:val="Normal"/>
              <w:rPr>
                <w:sz w:val="22"/>
                <w:szCs w:val="22"/>
              </w:rPr>
            </w:pPr>
            <w:r>
              <w:rPr>
                <w:sz w:val="22"/>
                <w:szCs w:val="22"/>
              </w:rPr>
              <w:t>U.S. $ 0</w:t>
            </w:r>
          </w:p>
        </w:tc>
        <w:tc>
          <w:tcPr>
            <w:tcW w:w="2381" w:type="dxa"/>
            <w:tcBorders/>
          </w:tcPr>
          <w:p>
            <w:pPr>
              <w:pStyle w:val="Normal"/>
              <w:ind w:start="-18" w:end="0"/>
              <w:rPr>
                <w:sz w:val="22"/>
                <w:szCs w:val="22"/>
              </w:rPr>
            </w:pPr>
            <w:r>
              <w:rPr>
                <w:sz w:val="22"/>
                <w:szCs w:val="22"/>
              </w:rPr>
              <w:t>Below BBB-</w:t>
            </w:r>
          </w:p>
        </w:tc>
        <w:tc>
          <w:tcPr>
            <w:tcW w:w="2479" w:type="dxa"/>
            <w:tcBorders/>
          </w:tcPr>
          <w:p>
            <w:pPr>
              <w:pStyle w:val="Normal"/>
              <w:rPr>
                <w:sz w:val="22"/>
                <w:szCs w:val="22"/>
              </w:rPr>
            </w:pPr>
            <w:r>
              <w:rPr>
                <w:sz w:val="22"/>
                <w:szCs w:val="22"/>
              </w:rPr>
              <w:t>Below Baa3</w:t>
            </w:r>
            <w:r>
              <w:rPr>
                <w:color w:val="FF0000"/>
                <w:sz w:val="22"/>
                <w:szCs w:val="22"/>
              </w:rPr>
              <w:t>]</w:t>
            </w:r>
          </w:p>
        </w:tc>
      </w:tr>
    </w:tbl>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$____ </w:t>
      </w:r>
      <w:r>
        <w:rPr>
          <w:sz w:val="22"/>
          <w:szCs w:val="22"/>
        </w:rPr>
        <w:t xml:space="preserve">and the Return Amount will be rounded down to the nearest integral multiple of U.S. </w:t>
      </w:r>
      <w:r>
        <w:rPr>
          <w:color w:val="000000"/>
          <w:sz w:val="22"/>
          <w:szCs w:val="22"/>
        </w:rPr>
        <w:t>$____.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r>
              <w:rPr>
                <w:rStyle w:val="FootnoteCharacters"/>
                <w:rStyle w:val="FootnoteReference"/>
                <w:color w:val="FF0000"/>
                <w:sz w:val="22"/>
                <w:szCs w:val="22"/>
              </w:rPr>
              <w:footnoteReference w:id="9"/>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pPr>
      <w:r>
        <w:rPr>
          <w:color w:val="FF0000"/>
          <w:sz w:val="22"/>
          <w:szCs w:val="22"/>
        </w:rPr>
        <w:t>[</w:t>
      </w:r>
      <w:r>
        <w:rPr>
          <w:sz w:val="22"/>
          <w:szCs w:val="22"/>
        </w:rPr>
        <w:t>(iv)  The provisions of Paragraph 5(i)(B) are hereby amended by inserting the following immediately before the word “and” in line 5 thereof:</w:t>
      </w:r>
    </w:p>
    <w:p>
      <w:pPr>
        <w:pStyle w:val="Normal"/>
        <w:spacing w:before="240" w:after="0"/>
        <w:ind w:start="720" w:end="0"/>
        <w:jc w:val="both"/>
        <w:rPr>
          <w:sz w:val="22"/>
          <w:szCs w:val="22"/>
        </w:rPr>
      </w:pPr>
      <w:r>
        <w:rPr>
          <w:sz w:val="22"/>
          <w:szCs w:val="22"/>
        </w:rPr>
        <w:t>provided that if no quotation from a Reference Market-maker is available for such Transaction (or Swap Transaction), then quotations of rates or prices from one or more leading participants in the relevant market (selected in good faith) may be used for such Transaction (or Swap Transaction);</w:t>
      </w:r>
      <w:r>
        <w:rPr>
          <w:color w:val="FF0000"/>
          <w:sz w:val="22"/>
          <w:szCs w:val="22"/>
        </w:rPr>
        <w:t>]</w:t>
      </w:r>
      <w:r>
        <w:rPr>
          <w:rStyle w:val="FootnoteCharacters"/>
          <w:rStyle w:val="FootnoteReference"/>
          <w:color w:val="FF0000"/>
          <w:sz w:val="22"/>
          <w:szCs w:val="22"/>
        </w:rPr>
        <w:footnoteReference w:id="10"/>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pPr>
      <w:r>
        <w:rPr>
          <w:sz w:val="22"/>
          <w:szCs w:val="22"/>
        </w:rPr>
        <w:t xml:space="preserve">(1) Party A is not a Defaulting Party and </w:t>
      </w:r>
      <w:r>
        <w:rPr>
          <w:color w:val="FF0000"/>
          <w:sz w:val="22"/>
          <w:szCs w:val="22"/>
        </w:rPr>
        <w:t>[</w:t>
      </w:r>
      <w:r>
        <w:rPr>
          <w:sz w:val="22"/>
          <w:szCs w:val="22"/>
        </w:rPr>
        <w:t>Party A’s Credit Support Provider</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has a Credit Rating from S&amp;P and the lowest Credit Rating for </w:t>
      </w:r>
      <w:r>
        <w:rPr>
          <w:color w:val="FF0000"/>
          <w:sz w:val="22"/>
          <w:szCs w:val="22"/>
        </w:rPr>
        <w:t>[</w:t>
      </w:r>
      <w:r>
        <w:rPr>
          <w:sz w:val="22"/>
          <w:szCs w:val="22"/>
        </w:rPr>
        <w:t>Party A’s Credit Support Provider</w:t>
      </w:r>
      <w:r>
        <w:rPr>
          <w:color w:val="FF0000"/>
          <w:sz w:val="22"/>
          <w:szCs w:val="22"/>
        </w:rPr>
        <w:t>]</w:t>
      </w:r>
      <w:r>
        <w:rPr>
          <w:sz w:val="22"/>
          <w:szCs w:val="22"/>
        </w:rPr>
        <w:t xml:space="preserve"> </w:t>
      </w:r>
      <w:r>
        <w:rPr>
          <w:color w:val="FF0000"/>
          <w:sz w:val="22"/>
          <w:szCs w:val="22"/>
        </w:rPr>
        <w:t>[</w:t>
      </w:r>
      <w:r>
        <w:rPr>
          <w:sz w:val="22"/>
          <w:szCs w:val="22"/>
        </w:rPr>
        <w:t>Enron Corp.</w:t>
      </w:r>
      <w:r>
        <w:rPr>
          <w:color w:val="FF0000"/>
          <w:sz w:val="22"/>
          <w:szCs w:val="22"/>
        </w:rPr>
        <w:t>]</w:t>
      </w:r>
      <w:r>
        <w:rPr>
          <w:sz w:val="22"/>
          <w:szCs w:val="22"/>
        </w:rPr>
        <w:t xml:space="preserve"> is “BBB-” or higher by S&amp;P</w:t>
      </w:r>
      <w:r>
        <w:rPr>
          <w:color w:val="FF0000"/>
          <w:sz w:val="22"/>
          <w:szCs w:val="22"/>
        </w:rPr>
        <w:t>[</w:t>
      </w:r>
      <w:r>
        <w:rPr>
          <w:sz w:val="22"/>
          <w:szCs w:val="22"/>
        </w:rPr>
        <w:t xml:space="preserve"> or “Baa3” or higher by Moody’s</w:t>
      </w:r>
      <w:r>
        <w:rPr>
          <w:color w:val="FF0000"/>
          <w:sz w:val="22"/>
          <w:szCs w:val="22"/>
        </w:rPr>
        <w:t>]</w:t>
      </w:r>
      <w:r>
        <w:rPr>
          <w:sz w:val="22"/>
          <w:szCs w:val="22"/>
        </w:rPr>
        <w:t>.</w:t>
      </w:r>
    </w:p>
    <w:p>
      <w:pPr>
        <w:pStyle w:val="Normal"/>
        <w:ind w:start="1080" w:end="0"/>
        <w:jc w:val="both"/>
        <w:rPr>
          <w:sz w:val="22"/>
          <w:szCs w:val="22"/>
        </w:rPr>
      </w:pPr>
      <w:r>
        <w:rPr>
          <w:sz w:val="22"/>
          <w:szCs w:val="22"/>
        </w:rPr>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widowControl/>
        <w:spacing w:lineRule="auto" w:line="240"/>
        <w:ind w:start="1080" w:end="0"/>
        <w:rPr/>
      </w:pPr>
      <w:r>
        <w:rPr/>
      </w:r>
    </w:p>
    <w:p>
      <w:pPr>
        <w:pStyle w:val="Normal"/>
        <w:ind w:start="1080" w:end="0"/>
        <w:jc w:val="both"/>
        <w:rPr>
          <w:sz w:val="22"/>
          <w:szCs w:val="22"/>
        </w:rPr>
      </w:pPr>
      <w:r>
        <w:rPr>
          <w:color w:val="FF0000"/>
          <w:sz w:val="22"/>
          <w:szCs w:val="22"/>
        </w:rPr>
        <w:t>[</w:t>
      </w:r>
      <w:r>
        <w:rPr>
          <w:sz w:val="22"/>
          <w:szCs w:val="22"/>
        </w:rPr>
        <w:t>If Party A or its Custodian is not eligible to hold Posted Collateral pursuant to this Section, then it shall be considered a “Downgraded Party”or a “Downgraded Custodian”, as the case may be (as defined in Paragraph 13(g)(ii)) and Posted Collateral shall be maintained in accordance with Paragraph 13(g)(ii)(a).</w:t>
      </w:r>
      <w:r>
        <w:rPr>
          <w:color w:val="FF0000"/>
          <w:sz w:val="22"/>
          <w:szCs w:val="22"/>
        </w:rPr>
        <w:t>]</w:t>
      </w:r>
      <w:r>
        <w:rPr>
          <w:rStyle w:val="FootnoteCharacters"/>
          <w:rStyle w:val="FootnoteReference"/>
          <w:color w:val="FF0000"/>
          <w:sz w:val="22"/>
          <w:szCs w:val="22"/>
        </w:rPr>
        <w:footnoteReference w:id="11"/>
      </w:r>
    </w:p>
    <w:p>
      <w:pPr>
        <w:pStyle w:val="Normal"/>
        <w:ind w:hanging="720" w:start="2160" w:end="0"/>
        <w:jc w:val="both"/>
        <w:rPr>
          <w:sz w:val="22"/>
          <w:szCs w:val="22"/>
        </w:rPr>
      </w:pPr>
      <w:r>
        <w:rPr>
          <w:sz w:val="22"/>
          <w:szCs w:val="22"/>
        </w:rPr>
      </w:r>
    </w:p>
    <w:p>
      <w:pPr>
        <w:pStyle w:val="Normal"/>
        <w:ind w:start="720" w:end="0"/>
        <w:jc w:val="both"/>
        <w:rPr/>
      </w:pPr>
      <w:r>
        <w:rPr>
          <w:color w:val="FF0000"/>
          <w:sz w:val="22"/>
          <w:szCs w:val="22"/>
        </w:rPr>
        <w:t>[</w:t>
      </w:r>
      <w:r>
        <w:rPr>
          <w:sz w:val="22"/>
          <w:szCs w:val="22"/>
        </w:rPr>
        <w:t>Party B and its Custodian</w:t>
      </w:r>
      <w:r>
        <w:rPr>
          <w:color w:val="FF0000"/>
          <w:sz w:val="22"/>
          <w:szCs w:val="22"/>
        </w:rPr>
        <w:t>]</w:t>
      </w:r>
      <w:r>
        <w:rPr>
          <w:rStyle w:val="FootnoteCharacters"/>
          <w:rStyle w:val="FootnoteReference"/>
          <w:color w:val="FF0000"/>
          <w:sz w:val="22"/>
          <w:szCs w:val="22"/>
        </w:rPr>
        <w:footnoteReference w:id="12"/>
      </w:r>
      <w:r>
        <w:rPr>
          <w:sz w:val="22"/>
          <w:szCs w:val="22"/>
        </w:rPr>
        <w:t xml:space="preserve"> </w:t>
      </w:r>
      <w:r>
        <w:rPr>
          <w:color w:val="0000FF"/>
          <w:sz w:val="22"/>
          <w:szCs w:val="22"/>
        </w:rPr>
        <w:t>[Party B’s Custodian]</w:t>
      </w:r>
      <w:r>
        <w:rPr>
          <w:rStyle w:val="FootnoteCharacters"/>
          <w:rStyle w:val="FootnoteReference"/>
          <w:color w:val="FF0000"/>
          <w:sz w:val="22"/>
          <w:szCs w:val="22"/>
        </w:rPr>
        <w:footnoteReference w:id="13"/>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 xml:space="preserve">(1) Party B is not a Defaulting Party and </w:t>
      </w:r>
      <w:r>
        <w:rPr>
          <w:color w:val="FF0000"/>
          <w:sz w:val="22"/>
          <w:szCs w:val="22"/>
        </w:rPr>
        <w:t>[[</w:t>
      </w:r>
      <w:r>
        <w:rPr>
          <w:sz w:val="22"/>
          <w:szCs w:val="22"/>
        </w:rPr>
        <w:t>it</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sz w:val="22"/>
          <w:szCs w:val="22"/>
        </w:rPr>
        <w:t>]</w:t>
      </w:r>
      <w:r>
        <w:rPr>
          <w:sz w:val="22"/>
          <w:szCs w:val="22"/>
        </w:rPr>
        <w:t xml:space="preserve"> has a Credit Rating</w:t>
      </w:r>
      <w:r>
        <w:rPr>
          <w:color w:val="000000"/>
          <w:sz w:val="22"/>
          <w:szCs w:val="22"/>
        </w:rPr>
        <w:t xml:space="preserve"> from S&amp;P</w:t>
      </w:r>
      <w:r>
        <w:rPr>
          <w:sz w:val="22"/>
          <w:szCs w:val="22"/>
        </w:rPr>
        <w:t xml:space="preserve"> and the lowest Credit Rating for </w:t>
      </w:r>
      <w:r>
        <w:rPr>
          <w:color w:val="FF0000"/>
          <w:sz w:val="22"/>
          <w:szCs w:val="22"/>
        </w:rPr>
        <w:t>[</w:t>
      </w:r>
      <w:r>
        <w:rPr>
          <w:sz w:val="22"/>
          <w:szCs w:val="22"/>
        </w:rPr>
        <w:t>it</w:t>
      </w:r>
      <w:r>
        <w:rPr>
          <w:color w:val="FF0000"/>
          <w:sz w:val="22"/>
          <w:szCs w:val="22"/>
        </w:rPr>
        <w:t>]</w:t>
      </w:r>
      <w:r>
        <w:rPr>
          <w:sz w:val="22"/>
          <w:szCs w:val="22"/>
        </w:rPr>
        <w:t xml:space="preserve"> </w:t>
      </w:r>
      <w:r>
        <w:rPr>
          <w:color w:val="FF0000"/>
          <w:sz w:val="22"/>
          <w:szCs w:val="22"/>
        </w:rPr>
        <w:t>[</w:t>
      </w:r>
      <w:r>
        <w:rPr>
          <w:sz w:val="22"/>
          <w:szCs w:val="22"/>
        </w:rPr>
        <w:t>its Credit Support Provider</w:t>
      </w:r>
      <w:r>
        <w:rPr>
          <w:color w:val="FF0000"/>
          <w:sz w:val="22"/>
          <w:szCs w:val="22"/>
        </w:rPr>
        <w:t>]</w:t>
      </w:r>
      <w:r>
        <w:rPr>
          <w:sz w:val="22"/>
          <w:szCs w:val="22"/>
        </w:rPr>
        <w:t xml:space="preserve"> is “</w:t>
      </w:r>
      <w:r>
        <w:rPr>
          <w:color w:val="000000"/>
          <w:sz w:val="22"/>
          <w:szCs w:val="22"/>
        </w:rPr>
        <w:t>___</w:t>
      </w:r>
      <w:r>
        <w:rPr>
          <w:sz w:val="22"/>
          <w:szCs w:val="22"/>
        </w:rPr>
        <w:t>” or higher by S&amp;P</w:t>
      </w:r>
      <w:r>
        <w:rPr>
          <w:color w:val="FF0000"/>
          <w:sz w:val="22"/>
          <w:szCs w:val="22"/>
        </w:rPr>
        <w:t>[</w:t>
      </w:r>
      <w:r>
        <w:rPr>
          <w:sz w:val="22"/>
          <w:szCs w:val="22"/>
        </w:rPr>
        <w:t xml:space="preserve"> or “_____” or higher by Moody’s</w:t>
      </w:r>
      <w:r>
        <w:rPr>
          <w:color w:val="FF0000"/>
          <w:sz w:val="22"/>
          <w:szCs w:val="22"/>
        </w:rPr>
        <w:t>]</w:t>
      </w:r>
      <w:r>
        <w:rPr>
          <w:sz w:val="22"/>
          <w:szCs w:val="22"/>
        </w:rPr>
        <w:t xml:space="preserve"> </w:t>
      </w:r>
      <w:r>
        <w:rPr>
          <w:color w:val="FF0000"/>
          <w:sz w:val="22"/>
          <w:szCs w:val="22"/>
        </w:rPr>
        <w:t>[</w:t>
      </w:r>
      <w:r>
        <w:rPr>
          <w:sz w:val="22"/>
          <w:szCs w:val="22"/>
        </w:rPr>
        <w:t>a Material Adverse Change has not occurred with respect to Party B</w:t>
      </w:r>
      <w:r>
        <w:rPr>
          <w:color w:val="FF0000"/>
          <w:sz w:val="22"/>
          <w:szCs w:val="22"/>
        </w:rPr>
        <w:t>]</w:t>
      </w:r>
      <w:r>
        <w:rPr>
          <w:sz w:val="22"/>
          <w:szCs w:val="22"/>
        </w:rPr>
        <w:t>.</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color w:val="FF0000"/>
          <w:sz w:val="22"/>
          <w:szCs w:val="22"/>
        </w:rPr>
      </w:pPr>
      <w:r>
        <w:rPr>
          <w:color w:val="FF0000"/>
          <w:sz w:val="22"/>
          <w:szCs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r>
        <w:rPr>
          <w:color w:val="FF0000"/>
        </w:rPr>
        <w:t>]</w:t>
      </w:r>
      <w:r>
        <w:rPr>
          <w:rStyle w:val="FootnoteCharacters"/>
          <w:rStyle w:val="FootnoteReference"/>
          <w:color w:val="FF0000"/>
          <w:sz w:val="22"/>
          <w:szCs w:val="22"/>
        </w:rPr>
        <w:footnoteReference w:id="14"/>
      </w:r>
    </w:p>
    <w:p>
      <w:pPr>
        <w:pStyle w:val="Normal"/>
        <w:ind w:start="720" w:end="0"/>
        <w:jc w:val="both"/>
        <w:rPr>
          <w:sz w:val="22"/>
          <w:szCs w:val="22"/>
        </w:rPr>
      </w:pPr>
      <w:r>
        <w:rPr>
          <w:sz w:val="22"/>
          <w:szCs w:val="22"/>
        </w:rPr>
      </w:r>
    </w:p>
    <w:p>
      <w:pPr>
        <w:pStyle w:val="BodyTextIndent3"/>
        <w:rPr/>
      </w:pPr>
      <w:r>
        <w:rPr>
          <w:color w:val="FF0000"/>
        </w:rPr>
        <w:t>[</w:t>
      </w:r>
      <w:r>
        <w:rPr/>
        <w:t>With respect to Party B, Posted Collateral shall be maintained in accordance with Paragraph13(g)(ii)(b) and the provisions of Paragraphs 6(b)(i), 6(b)(ii) and 6(c) shall be inapplicable with respect to Party B as the Secured Party.</w:t>
      </w:r>
      <w:r>
        <w:rPr>
          <w:color w:val="FF0000"/>
        </w:rPr>
        <w:t>]</w:t>
      </w:r>
      <w:r>
        <w:rPr>
          <w:rStyle w:val="FootnoteCharacters"/>
          <w:rStyle w:val="FootnoteReference"/>
          <w:color w:val="FF0000"/>
          <w:sz w:val="22"/>
          <w:szCs w:val="22"/>
        </w:rPr>
        <w:footnoteReference w:id="15"/>
      </w:r>
    </w:p>
    <w:p>
      <w:pPr>
        <w:pStyle w:val="Normal"/>
        <w:ind w:hanging="720" w:start="216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color w:val="FF0000"/>
          <w:sz w:val="22"/>
          <w:szCs w:val="22"/>
        </w:rPr>
        <w:t>[</w:t>
      </w:r>
      <w:r>
        <w:rPr>
          <w:sz w:val="22"/>
          <w:szCs w:val="22"/>
        </w:rPr>
        <w:t>The provisions of Paragraph 6(c) will apply to the parties</w:t>
      </w:r>
      <w:r>
        <w:rPr>
          <w:rStyle w:val="FootnoteCharacters"/>
          <w:rStyle w:val="FootnoteReference"/>
          <w:color w:val="FF0000"/>
          <w:sz w:val="22"/>
          <w:szCs w:val="22"/>
        </w:rPr>
        <w:footnoteReference w:id="16"/>
      </w:r>
      <w:r>
        <w:rPr>
          <w:color w:val="FF0000"/>
          <w:sz w:val="22"/>
          <w:szCs w:val="22"/>
        </w:rPr>
        <w:t>][</w:t>
      </w:r>
      <w:r>
        <w:rPr>
          <w:sz w:val="22"/>
          <w:szCs w:val="22"/>
        </w:rPr>
        <w:t>(a) The provisions of Paragraph 6(c) will apply to Party A only</w:t>
      </w:r>
      <w:r>
        <w:rPr>
          <w:rStyle w:val="FootnoteCharacters"/>
          <w:rStyle w:val="FootnoteReference"/>
          <w:color w:val="FF0000"/>
          <w:sz w:val="22"/>
          <w:szCs w:val="22"/>
        </w:rPr>
        <w:footnoteReference w:id="17"/>
      </w:r>
      <w:r>
        <w:rPr>
          <w:color w:val="FF0000"/>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xml:space="preserve">, that if </w:t>
      </w:r>
      <w:r>
        <w:rPr>
          <w:color w:val="FF0000"/>
          <w:sz w:val="22"/>
          <w:szCs w:val="22"/>
        </w:rPr>
        <w:t>[</w:t>
      </w:r>
      <w:r>
        <w:rPr>
          <w:sz w:val="22"/>
          <w:szCs w:val="22"/>
        </w:rPr>
        <w:t>a party</w:t>
      </w:r>
      <w:r>
        <w:rPr>
          <w:color w:val="FF0000"/>
          <w:sz w:val="22"/>
          <w:szCs w:val="22"/>
        </w:rPr>
        <w:t>][</w:t>
      </w:r>
      <w:r>
        <w:rPr>
          <w:sz w:val="22"/>
          <w:szCs w:val="22"/>
        </w:rPr>
        <w:t>Party A</w:t>
      </w:r>
      <w:r>
        <w:rPr>
          <w:rStyle w:val="FootnoteCharacters"/>
          <w:rStyle w:val="FootnoteReference"/>
          <w:color w:val="FF0000"/>
          <w:sz w:val="22"/>
          <w:szCs w:val="22"/>
        </w:rPr>
        <w:footnoteReference w:id="18"/>
      </w:r>
      <w:r>
        <w:rPr>
          <w:color w:val="FF0000"/>
          <w:sz w:val="22"/>
          <w:szCs w:val="22"/>
        </w:rPr>
        <w:t>]</w:t>
      </w:r>
      <w:r>
        <w:rPr>
          <w:sz w:val="22"/>
          <w:szCs w:val="22"/>
        </w:rPr>
        <w:t xml:space="preserve">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xml:space="preserve">; if such Credit Rating Event occurs with respect to </w:t>
      </w:r>
      <w:r>
        <w:rPr>
          <w:color w:val="FF0000"/>
          <w:sz w:val="22"/>
          <w:szCs w:val="22"/>
        </w:rPr>
        <w:t>[</w:t>
      </w:r>
      <w:r>
        <w:rPr>
          <w:sz w:val="22"/>
          <w:szCs w:val="22"/>
        </w:rPr>
        <w:t>a party</w:t>
      </w:r>
      <w:r>
        <w:rPr>
          <w:color w:val="FF0000"/>
          <w:sz w:val="22"/>
          <w:szCs w:val="22"/>
        </w:rPr>
        <w:t>][</w:t>
      </w:r>
      <w:r>
        <w:rPr>
          <w:sz w:val="22"/>
          <w:szCs w:val="22"/>
        </w:rPr>
        <w:t>Party A</w:t>
      </w:r>
      <w:r>
        <w:rPr>
          <w:rStyle w:val="FootnoteCharacters"/>
          <w:rStyle w:val="FootnoteReference"/>
          <w:color w:val="FF0000"/>
        </w:rPr>
        <w:footnoteReference w:id="19"/>
      </w:r>
      <w:r>
        <w:rPr>
          <w:color w:val="FF0000"/>
          <w:sz w:val="22"/>
          <w:szCs w:val="22"/>
        </w:rPr>
        <w:t>]</w:t>
      </w:r>
      <w:r>
        <w:rPr>
          <w:sz w:val="22"/>
          <w:szCs w:val="22"/>
        </w:rPr>
        <w:t xml:space="preserve">, </w:t>
      </w:r>
      <w:r>
        <w:rPr>
          <w:color w:val="FF0000"/>
          <w:sz w:val="22"/>
          <w:szCs w:val="22"/>
        </w:rPr>
        <w:t>[</w:t>
      </w:r>
      <w:r>
        <w:rPr>
          <w:sz w:val="22"/>
          <w:szCs w:val="22"/>
        </w:rPr>
        <w:t>such party</w:t>
      </w:r>
      <w:r>
        <w:rPr>
          <w:color w:val="FF0000"/>
          <w:sz w:val="22"/>
          <w:szCs w:val="22"/>
        </w:rPr>
        <w:t>][</w:t>
      </w:r>
      <w:r>
        <w:rPr>
          <w:sz w:val="22"/>
          <w:szCs w:val="22"/>
        </w:rPr>
        <w:t>Party A</w:t>
      </w:r>
      <w:r>
        <w:rPr>
          <w:rStyle w:val="FootnoteCharacters"/>
          <w:rStyle w:val="FootnoteReference"/>
          <w:color w:val="FF0000"/>
        </w:rPr>
        <w:footnoteReference w:id="20"/>
      </w:r>
      <w:r>
        <w:rPr>
          <w:color w:val="FF0000"/>
          <w:sz w:val="22"/>
          <w:szCs w:val="22"/>
        </w:rPr>
        <w:t xml:space="preserve">] </w:t>
      </w:r>
      <w:r>
        <w:rPr>
          <w:sz w:val="22"/>
          <w:szCs w:val="22"/>
        </w:rPr>
        <w:t xml:space="preserve">shall be the “Downgraded Party”; and if such Credit Rating Event occurs with respect to </w:t>
      </w:r>
      <w:r>
        <w:rPr>
          <w:color w:val="FF0000"/>
          <w:sz w:val="22"/>
          <w:szCs w:val="22"/>
        </w:rPr>
        <w:t>[</w:t>
      </w:r>
      <w:r>
        <w:rPr>
          <w:sz w:val="22"/>
          <w:szCs w:val="22"/>
        </w:rPr>
        <w:t>a party’s</w:t>
      </w:r>
      <w:r>
        <w:rPr>
          <w:color w:val="FF0000"/>
          <w:sz w:val="22"/>
          <w:szCs w:val="22"/>
        </w:rPr>
        <w:t>][</w:t>
      </w:r>
      <w:r>
        <w:rPr>
          <w:sz w:val="22"/>
          <w:szCs w:val="22"/>
        </w:rPr>
        <w:t>Party A’s</w:t>
      </w:r>
      <w:r>
        <w:rPr>
          <w:rStyle w:val="FootnoteCharacters"/>
          <w:rStyle w:val="FootnoteReference"/>
          <w:color w:val="FF0000"/>
        </w:rPr>
        <w:footnoteReference w:id="21"/>
      </w:r>
      <w:r>
        <w:rPr>
          <w:color w:val="FF0000"/>
          <w:sz w:val="22"/>
          <w:szCs w:val="22"/>
        </w:rPr>
        <w:t>]</w:t>
      </w:r>
      <w:r>
        <w:rPr>
          <w:sz w:val="22"/>
          <w:szCs w:val="22"/>
        </w:rPr>
        <w:t xml:space="preserve">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within such Qualified Institution with the title of the Collateral Account indicating that the property contained therein is being held as Posted Collateral for the Downgraded Party; provided</w:t>
      </w:r>
      <w:r>
        <w:rPr>
          <w:sz w:val="22"/>
          <w:szCs w:val="22"/>
          <w:u w:val="single"/>
        </w:rPr>
        <w:t>, that</w:t>
      </w:r>
      <w:r>
        <w:rPr>
          <w:sz w:val="22"/>
          <w:szCs w:val="22"/>
        </w:rPr>
        <w:t xml:space="preserve">, if the Credit Rating Event occurs with respect to </w:t>
      </w:r>
      <w:r>
        <w:rPr>
          <w:color w:val="FF0000"/>
          <w:sz w:val="22"/>
          <w:szCs w:val="22"/>
        </w:rPr>
        <w:t>[</w:t>
      </w:r>
      <w:r>
        <w:rPr>
          <w:sz w:val="22"/>
          <w:szCs w:val="22"/>
        </w:rPr>
        <w:t>a party’s</w:t>
      </w:r>
      <w:r>
        <w:rPr>
          <w:color w:val="FF0000"/>
          <w:sz w:val="22"/>
          <w:szCs w:val="22"/>
        </w:rPr>
        <w:t>][</w:t>
      </w:r>
      <w:r>
        <w:rPr>
          <w:sz w:val="22"/>
          <w:szCs w:val="22"/>
        </w:rPr>
        <w:t>Party A’s</w:t>
      </w:r>
      <w:r>
        <w:rPr>
          <w:rStyle w:val="FootnoteCharacters"/>
          <w:rStyle w:val="FootnoteReference"/>
          <w:color w:val="FF0000"/>
        </w:rPr>
        <w:footnoteReference w:id="22"/>
      </w:r>
      <w:r>
        <w:rPr>
          <w:color w:val="FF0000"/>
          <w:sz w:val="22"/>
          <w:szCs w:val="22"/>
        </w:rPr>
        <w:t>]</w:t>
      </w:r>
      <w:r>
        <w:rPr>
          <w:sz w:val="22"/>
          <w:szCs w:val="22"/>
        </w:rPr>
        <w:t xml:space="preserve"> Custodian that is holding Posted Collateral on behalf of </w:t>
      </w:r>
      <w:r>
        <w:rPr>
          <w:color w:val="FF0000"/>
          <w:sz w:val="22"/>
          <w:szCs w:val="22"/>
        </w:rPr>
        <w:t>[</w:t>
      </w:r>
      <w:r>
        <w:rPr>
          <w:sz w:val="22"/>
          <w:szCs w:val="22"/>
        </w:rPr>
        <w:t>such party</w:t>
      </w:r>
      <w:r>
        <w:rPr>
          <w:color w:val="FF0000"/>
          <w:sz w:val="22"/>
          <w:szCs w:val="22"/>
        </w:rPr>
        <w:t>][</w:t>
      </w:r>
      <w:r>
        <w:rPr>
          <w:sz w:val="22"/>
          <w:szCs w:val="22"/>
        </w:rPr>
        <w:t>Party A</w:t>
      </w:r>
      <w:r>
        <w:rPr>
          <w:rStyle w:val="FootnoteCharacters"/>
          <w:rStyle w:val="FootnoteReference"/>
          <w:color w:val="FF0000"/>
        </w:rPr>
        <w:footnoteReference w:id="23"/>
      </w:r>
      <w:r>
        <w:rPr>
          <w:color w:val="FF0000"/>
          <w:sz w:val="22"/>
          <w:szCs w:val="22"/>
        </w:rPr>
        <w:t>]</w:t>
      </w:r>
      <w:r>
        <w:rPr>
          <w:sz w:val="22"/>
          <w:szCs w:val="22"/>
        </w:rPr>
        <w:t>, then such Downgraded Custodian may also deliver such Posted Collateral to</w:t>
      </w:r>
      <w:r>
        <w:rPr>
          <w:color w:val="FF0000"/>
          <w:sz w:val="22"/>
          <w:szCs w:val="22"/>
        </w:rPr>
        <w:t xml:space="preserve"> [</w:t>
      </w:r>
      <w:r>
        <w:rPr>
          <w:sz w:val="22"/>
          <w:szCs w:val="22"/>
        </w:rPr>
        <w:t>such party</w:t>
      </w:r>
      <w:r>
        <w:rPr>
          <w:color w:val="FF0000"/>
          <w:sz w:val="22"/>
          <w:szCs w:val="22"/>
        </w:rPr>
        <w:t>][</w:t>
      </w:r>
      <w:r>
        <w:rPr>
          <w:sz w:val="22"/>
          <w:szCs w:val="22"/>
        </w:rPr>
        <w:t>Party A</w:t>
      </w:r>
      <w:r>
        <w:rPr>
          <w:rStyle w:val="FootnoteCharacters"/>
          <w:rStyle w:val="FootnoteReference"/>
          <w:color w:val="FF0000"/>
        </w:rPr>
        <w:footnoteReference w:id="24"/>
      </w:r>
      <w:r>
        <w:rPr>
          <w:color w:val="FF0000"/>
          <w:sz w:val="22"/>
          <w:szCs w:val="22"/>
        </w:rPr>
        <w:t>]</w:t>
      </w:r>
      <w:r>
        <w:rPr>
          <w:sz w:val="22"/>
          <w:szCs w:val="22"/>
        </w:rPr>
        <w:t>.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1080" w:end="0"/>
        <w:jc w:val="both"/>
        <w:rPr>
          <w:sz w:val="22"/>
          <w:szCs w:val="22"/>
        </w:rPr>
      </w:pPr>
      <w:r>
        <w:rPr>
          <w:sz w:val="22"/>
          <w:szCs w:val="22"/>
        </w:rPr>
        <w:t xml:space="preserve"> </w:t>
      </w:r>
    </w:p>
    <w:p>
      <w:pPr>
        <w:pStyle w:val="Normal"/>
        <w:ind w:start="720" w:end="0"/>
        <w:jc w:val="both"/>
        <w:rPr/>
      </w:pPr>
      <w:r>
        <w:rPr>
          <w:color w:val="FF0000"/>
          <w:sz w:val="22"/>
        </w:rPr>
        <w:t>[</w:t>
      </w:r>
      <w:r>
        <w:rPr>
          <w:sz w:val="22"/>
        </w:rPr>
        <w:t xml:space="preserve">(b) All Posted Collateral that is to be transferred to Party B as the Secured Party pursuant to Paragraphs 3 and 5 shall be transferred to and held by a Qualified Institution approved by Party A (which approval shall not be unreasonably withheld) to be held in a Collateral Account within such Qualified Institution with the title of the Collateral Account indicating that the property contained therein is being held as Posted Collateral for Party B.  The Qualified Institution shall serve as Custodian with respect to the Posted Collateral in the Collateral Account, and shall hold such Posted Collateral in accordance with the terms of this Annex and for the security interest of Party B and, subject to such security interest, for the ownership of Party A.  </w:t>
      </w:r>
      <w:r>
        <w:rPr>
          <w:sz w:val="22"/>
          <w:szCs w:val="22"/>
        </w:rPr>
        <w:t>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color w:val="FF0000"/>
        </w:rPr>
        <w:t>]</w:t>
      </w:r>
      <w:r>
        <w:rPr>
          <w:rStyle w:val="FootnoteCharacters"/>
          <w:rStyle w:val="FootnoteReference"/>
          <w:color w:val="FF0000"/>
          <w:sz w:val="22"/>
          <w:szCs w:val="22"/>
        </w:rPr>
        <w:footnoteReference w:id="25"/>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start="720" w:end="0"/>
        <w:jc w:val="both"/>
        <w:rPr>
          <w:sz w:val="22"/>
          <w:szCs w:val="22"/>
        </w:rPr>
      </w:pPr>
      <w:r>
        <w:rPr>
          <w:color w:val="FF0000"/>
          <w:sz w:val="22"/>
          <w:szCs w:val="22"/>
        </w:rPr>
        <w:t>[</w:t>
      </w:r>
      <w:r>
        <w:rPr>
          <w:sz w:val="22"/>
          <w:szCs w:val="22"/>
        </w:rPr>
        <w:t>(ii)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Annex, the Pledgor will continuously include and maintain as part of its official written books and records this Annex, all exhibits, supplements and attachments hereto and documents incorporated by reference herein, and evidence of all necessary authorizations.</w:t>
      </w:r>
      <w:r>
        <w:rPr>
          <w:rStyle w:val="FootnoteCharacters"/>
          <w:rStyle w:val="FootnoteReference"/>
          <w:color w:val="FF0000"/>
          <w:sz w:val="22"/>
          <w:szCs w:val="22"/>
        </w:rPr>
        <w:footnoteReference w:id="26"/>
      </w:r>
      <w:r>
        <w:rPr>
          <w:color w:val="FF0000"/>
          <w:sz w:val="22"/>
          <w:szCs w:val="22"/>
        </w:rPr>
        <w:t>]</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r>
        <w:rPr>
          <w:color w:val="FF0000"/>
          <w:sz w:val="22"/>
          <w:szCs w:val="22"/>
        </w:rPr>
        <w:t>[</w:t>
      </w:r>
      <w:r>
        <w:rPr>
          <w:sz w:val="22"/>
          <w:szCs w:val="22"/>
        </w:rPr>
        <w:t>If such ratings are not available, then “Credit Rating” shall mean the S&amp;P Issuer Credit Rating.</w:t>
      </w:r>
      <w:r>
        <w:rPr>
          <w:rStyle w:val="FootnoteCharacters"/>
          <w:rStyle w:val="FootnoteReference"/>
          <w:color w:val="FF0000"/>
          <w:sz w:val="22"/>
          <w:szCs w:val="22"/>
        </w:rPr>
        <w:footnoteReference w:id="27"/>
      </w:r>
      <w:r>
        <w:rPr>
          <w:color w:val="FF0000"/>
          <w:sz w:val="22"/>
          <w:szCs w:val="22"/>
        </w:rPr>
        <w: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Material Adverse Change”</w:t>
      </w:r>
      <w:r>
        <w:rPr>
          <w:sz w:val="22"/>
          <w:szCs w:val="22"/>
        </w:rPr>
        <w:t xml:space="preserve"> means </w:t>
      </w:r>
      <w:r>
        <w:rPr>
          <w:color w:val="000000"/>
          <w:sz w:val="22"/>
          <w:szCs w:val="22"/>
        </w:rPr>
        <w:t>________________________________________.</w:t>
      </w:r>
      <w:r>
        <w:rPr>
          <w:rStyle w:val="FootnoteCharacters"/>
          <w:rStyle w:val="FootnoteReference"/>
          <w:color w:val="FF0000"/>
          <w:sz w:val="22"/>
          <w:szCs w:val="22"/>
        </w:rPr>
        <w:footnoteReference w:id="28"/>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pStyle w:val="Normal"/>
        <w:keepNext w:val="true"/>
        <w:ind w:start="720" w:end="0"/>
        <w:jc w:val="both"/>
        <w:rPr/>
      </w:pPr>
      <w:r>
        <w:rPr>
          <w:color w:val="FF0000"/>
          <w:sz w:val="22"/>
          <w:szCs w:val="22"/>
        </w:rPr>
        <w:t>[</w:t>
      </w:r>
      <w:r>
        <w:rPr>
          <w:sz w:val="22"/>
          <w:szCs w:val="22"/>
        </w:rPr>
        <w:t>(iv)  Paragraph 3(b) is hereby amended by adding the following after the phrase “(rounded pursuant to Paragraph 13)” in the fifth line thereof:</w:t>
      </w:r>
    </w:p>
    <w:p>
      <w:pPr>
        <w:pStyle w:val="Normal"/>
        <w:keepNext w:val="true"/>
        <w:ind w:start="720" w:end="0"/>
        <w:jc w:val="both"/>
        <w:rPr>
          <w:sz w:val="22"/>
          <w:szCs w:val="22"/>
        </w:rPr>
      </w:pPr>
      <w:r>
        <w:rPr>
          <w:sz w:val="22"/>
          <w:szCs w:val="22"/>
        </w:rPr>
      </w:r>
    </w:p>
    <w:p>
      <w:pPr>
        <w:sectPr>
          <w:footerReference w:type="default" r:id="rId2"/>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t>“</w:t>
      </w:r>
      <w:r>
        <w:rPr>
          <w:sz w:val="22"/>
          <w:szCs w:val="22"/>
        </w:rPr>
        <w:t xml:space="preserve">; </w:t>
      </w:r>
      <w:r>
        <w:rPr>
          <w:sz w:val="22"/>
          <w:szCs w:val="22"/>
          <w:u w:val="single"/>
        </w:rPr>
        <w:t>provided</w:t>
      </w:r>
      <w:r>
        <w:rPr>
          <w:sz w:val="22"/>
          <w:szCs w:val="22"/>
        </w:rPr>
        <w:t xml:space="preserve">, </w:t>
      </w:r>
      <w:r>
        <w:rPr>
          <w:sz w:val="22"/>
          <w:szCs w:val="22"/>
          <w:u w:val="single"/>
        </w:rPr>
        <w:t>however</w:t>
      </w:r>
      <w:r>
        <w:rPr>
          <w:sz w:val="22"/>
          <w:szCs w:val="22"/>
        </w:rPr>
        <w:t>, that the Secured Party will, upon the Pledgor’s request, Transfer to the Pledgor all Posted Credit Support if the amount of such Posted Credit Support is material and if the Pledgor’s Credit Support Amount is zero.”</w:t>
      </w:r>
      <w:r>
        <w:rPr>
          <w:rStyle w:val="FootnoteCharacters"/>
          <w:sz w:val="22"/>
          <w:szCs w:val="22"/>
        </w:rPr>
        <w:t xml:space="preserve"> </w:t>
      </w:r>
      <w:r>
        <w:rPr>
          <w:rStyle w:val="FootnoteCharacters"/>
          <w:rStyle w:val="FootnoteReference"/>
          <w:color w:val="FF0000"/>
          <w:sz w:val="22"/>
          <w:szCs w:val="22"/>
        </w:rPr>
        <w:footnoteReference w:id="29"/>
      </w:r>
      <w:r>
        <w:rPr>
          <w:color w:val="FF0000"/>
          <w:sz w:val="22"/>
          <w:szCs w:val="22"/>
        </w:rPr>
        <w:t>]</w:t>
      </w:r>
    </w:p>
    <w:p>
      <w:pPr>
        <w:pStyle w:val="Expanded"/>
        <w:spacing w:before="0" w:after="0"/>
        <w:rPr>
          <w:caps w:val="false"/>
          <w:smallCaps w:val="false"/>
          <w:color w:val="FF0000"/>
          <w:spacing w:val="0"/>
        </w:rPr>
      </w:pPr>
      <w:r>
        <w:rPr>
          <w:caps w:val="false"/>
          <w:smallCaps w:val="false"/>
          <w:color w:val="FF0000"/>
          <w:spacing w:val="0"/>
        </w:rPr>
        <w:t>MATERIAL ADVERSE CHANGE ("MAC") CLAUSES</w:t>
      </w:r>
    </w:p>
    <w:p>
      <w:pPr>
        <w:pStyle w:val="Expanded"/>
        <w:spacing w:before="0" w:after="0"/>
        <w:rPr>
          <w:caps w:val="false"/>
          <w:smallCaps w:val="false"/>
          <w:color w:val="FF0000"/>
          <w:spacing w:val="0"/>
        </w:rPr>
      </w:pPr>
      <w:r>
        <w:rPr>
          <w:caps w:val="false"/>
          <w:smallCaps w:val="false"/>
          <w:color w:val="FF0000"/>
          <w:spacing w:val="0"/>
        </w:rPr>
        <w:t>(delete this page when done)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aps/>
          <w:color w:val="FF0000"/>
          <w:spacing w:val="0"/>
          <w:sz w:val="22"/>
          <w:szCs w:val="22"/>
          <w:u w:val="single"/>
        </w:rPr>
      </w:pPr>
      <w:r>
        <w:rPr>
          <w:caps/>
          <w:color w:val="FF0000"/>
          <w:spacing w:val="0"/>
          <w:sz w:val="22"/>
          <w:szCs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color w:val="FF0000"/>
          <w:sz w:val="22"/>
          <w:szCs w:val="22"/>
          <w:u w:val="single"/>
        </w:rPr>
      </w:pPr>
      <w:r>
        <w:rPr>
          <w:color w:val="FF0000"/>
          <w:sz w:val="22"/>
          <w:szCs w:val="22"/>
          <w:u w:val="single"/>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ECT (“Party A”) AND COUNTERPARTY (“Party B”) (CREDIT RATINGS)</w:t>
      </w:r>
      <w:r>
        <w:rPr>
          <w:b/>
          <w:bCs/>
          <w:color w:val="FF0000"/>
          <w:sz w:val="22"/>
          <w:szCs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bCs/>
          <w:color w:val="FF0000"/>
          <w:sz w:val="22"/>
          <w:szCs w:val="22"/>
          <w:u w:val="single"/>
        </w:rPr>
      </w:pPr>
      <w:r>
        <w:rPr>
          <w:b/>
          <w:bCs/>
          <w:color w:val="FF0000"/>
          <w:sz w:val="22"/>
          <w:szCs w:val="22"/>
          <w:u w:val="single"/>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w:t>
      </w:r>
      <w:r>
        <w:rPr>
          <w:color w:val="FF0000"/>
          <w:sz w:val="22"/>
          <w:szCs w:val="22"/>
        </w:rPr>
        <w:t>[</w:t>
      </w:r>
      <w:r>
        <w:rPr>
          <w:sz w:val="22"/>
          <w:szCs w:val="22"/>
        </w:rPr>
        <w:t>Enron Corp.</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 xml:space="preserve">; or (b)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ECT (“Party A”) (CREDIT RATING) AND COUNTERPARTY (“Party B”) (NON-SPECIFIC MAC)</w:t>
      </w:r>
      <w:r>
        <w:rPr>
          <w:b/>
          <w:bCs/>
          <w:color w:val="FF0000"/>
          <w:sz w:val="22"/>
          <w:szCs w:val="22"/>
        </w:rPr>
        <w:t>]:</w:t>
      </w:r>
    </w:p>
    <w:p>
      <w:pPr>
        <w:pStyle w:val="Justified"/>
        <w:spacing w:before="0" w:after="0"/>
        <w:rPr>
          <w:rFonts w:ascii="Times New Roman" w:hAnsi="Times New Roman" w:cs="Times New Roman"/>
          <w:b/>
          <w:bCs/>
          <w:color w:val="FF0000"/>
          <w:sz w:val="22"/>
          <w:szCs w:val="22"/>
          <w:u w:val="single"/>
        </w:rPr>
      </w:pPr>
      <w:r>
        <w:rPr>
          <w:rFonts w:cs="Times New Roman" w:ascii="Times New Roman" w:hAnsi="Times New Roman"/>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“BBB-” by S&amp;P </w:t>
      </w:r>
      <w:r>
        <w:rPr>
          <w:color w:val="FF0000"/>
          <w:sz w:val="22"/>
          <w:szCs w:val="22"/>
        </w:rPr>
        <w:t>[</w:t>
      </w:r>
      <w:r>
        <w:rPr>
          <w:sz w:val="22"/>
          <w:szCs w:val="22"/>
        </w:rPr>
        <w:t>or below “Baa3” by Moody’s</w:t>
      </w:r>
      <w:r>
        <w:rPr>
          <w:color w:val="FF0000"/>
          <w:sz w:val="22"/>
          <w:szCs w:val="22"/>
        </w:rPr>
        <w:t>]</w:t>
      </w:r>
      <w:r>
        <w:rPr>
          <w:sz w:val="22"/>
          <w:szCs w:val="22"/>
        </w:rPr>
        <w:t xml:space="preserve">; or (b) with respect to Party B, in the reasonable opinion of Party A, a material adverse change has occurred in the business, financial condition or operations of Party B </w:t>
      </w:r>
      <w:r>
        <w:rPr>
          <w:color w:val="FF0000"/>
          <w:sz w:val="22"/>
          <w:szCs w:val="22"/>
        </w:rPr>
        <w:t>[</w:t>
      </w:r>
      <w:r>
        <w:rPr>
          <w:sz w:val="22"/>
          <w:szCs w:val="22"/>
        </w:rPr>
        <w:t>or its Credit Support Provider</w:t>
      </w:r>
      <w:r>
        <w:rPr>
          <w:color w:val="FF0000"/>
          <w:sz w:val="22"/>
          <w:szCs w:val="22"/>
        </w:rPr>
        <w:t>]</w:t>
      </w:r>
      <w:r>
        <w:rPr>
          <w:sz w:val="22"/>
          <w:szCs w:val="22"/>
        </w:rPr>
        <w:t>.</w:t>
      </w:r>
    </w:p>
    <w:p>
      <w:pPr>
        <w:pStyle w:val="Normal"/>
        <w:jc w:val="both"/>
        <w:rPr>
          <w:sz w:val="22"/>
          <w:szCs w:val="22"/>
        </w:rPr>
      </w:pPr>
      <w:r>
        <w:rPr>
          <w:sz w:val="22"/>
          <w:szCs w:val="22"/>
        </w:rPr>
      </w:r>
    </w:p>
    <w:p>
      <w:pPr>
        <w:pStyle w:val="Normal"/>
        <w:jc w:val="both"/>
        <w:rPr>
          <w:b/>
          <w:bCs/>
          <w:color w:val="FF0000"/>
          <w:sz w:val="22"/>
          <w:szCs w:val="22"/>
          <w:u w:val="single"/>
        </w:rPr>
      </w:pPr>
      <w:r>
        <w:rPr>
          <w:b/>
          <w:bCs/>
          <w:color w:val="FF0000"/>
          <w:sz w:val="22"/>
          <w:szCs w:val="22"/>
        </w:rPr>
        <w:t>[</w:t>
      </w:r>
      <w:r>
        <w:rPr>
          <w:b/>
          <w:bCs/>
          <w:color w:val="FF0000"/>
          <w:sz w:val="22"/>
          <w:szCs w:val="22"/>
          <w:u w:val="single"/>
        </w:rPr>
        <w:t>INSERT IF MAC IS TO BE APPLICABLE TO ONLY COUNTERPARTY (“Party B”) (NON-SPECIFIC MAC)</w:t>
      </w:r>
      <w:r>
        <w:rPr>
          <w:b/>
          <w:bCs/>
          <w:color w:val="FF0000"/>
          <w:sz w:val="22"/>
          <w:szCs w:val="22"/>
        </w:rPr>
        <w: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bCs/>
          <w:color w:val="FF0000"/>
          <w:sz w:val="22"/>
          <w:szCs w:val="22"/>
          <w:u w:val="single"/>
        </w:rPr>
      </w:pPr>
      <w:r>
        <w:rPr>
          <w:b/>
          <w:bCs/>
          <w:color w:val="FF0000"/>
          <w:sz w:val="22"/>
          <w:szCs w:val="22"/>
          <w:u w:val="single"/>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in the reasonable opinion of Party A, a material adverse change has occurred in the business, financial condition or operations of Party B</w:t>
      </w:r>
      <w:r>
        <w:rPr>
          <w:color w:val="FF0000"/>
          <w:sz w:val="22"/>
          <w:szCs w:val="22"/>
        </w:rPr>
        <w:t xml:space="preserve"> [</w:t>
      </w:r>
      <w:r>
        <w:rPr>
          <w:sz w:val="22"/>
          <w:szCs w:val="22"/>
        </w:rPr>
        <w:t>or its Credit Support Provider</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pPr>
      <w:r>
        <w:rPr>
          <w:b/>
          <w:bCs/>
          <w:color w:val="FF0000"/>
          <w:sz w:val="22"/>
          <w:szCs w:val="22"/>
        </w:rPr>
        <w:t>[</w:t>
      </w:r>
      <w:r>
        <w:rPr>
          <w:b/>
          <w:bCs/>
          <w:color w:val="FF0000"/>
          <w:sz w:val="22"/>
          <w:szCs w:val="22"/>
          <w:u w:val="single"/>
        </w:rPr>
        <w:t>INSERT IF MAC IS TO BE APPLICABLE TO ONLY COUNTERPARTY (“Party B”) (CREDIT RATING)</w:t>
      </w:r>
      <w:r>
        <w:rPr>
          <w:b/>
          <w:bCs/>
          <w:color w:val="FF0000"/>
          <w:sz w:val="22"/>
          <w:szCs w:val="22"/>
        </w:rPr>
        <w:t>]:</w:t>
      </w:r>
    </w:p>
    <w:p>
      <w:pPr>
        <w:pStyle w:val="Normal"/>
        <w:spacing w:lineRule="atLeast" w:line="240"/>
        <w:jc w:val="both"/>
        <w:rPr>
          <w:b/>
          <w:bCs/>
          <w:color w:val="FF0000"/>
          <w:sz w:val="22"/>
          <w:szCs w:val="22"/>
        </w:rPr>
      </w:pPr>
      <w:r>
        <w:rPr>
          <w:b/>
          <w:bCs/>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with respect to Party B, </w:t>
      </w:r>
      <w:r>
        <w:rPr>
          <w:color w:val="FF0000"/>
          <w:sz w:val="22"/>
          <w:szCs w:val="22"/>
        </w:rPr>
        <w:t>[</w:t>
      </w:r>
      <w:r>
        <w:rPr>
          <w:sz w:val="22"/>
          <w:szCs w:val="22"/>
        </w:rPr>
        <w:t>its</w:t>
      </w:r>
      <w:r>
        <w:rPr>
          <w:color w:val="FF0000"/>
          <w:sz w:val="22"/>
          <w:szCs w:val="22"/>
        </w:rPr>
        <w:t>] [</w:t>
      </w:r>
      <w:r>
        <w:rPr>
          <w:sz w:val="22"/>
          <w:szCs w:val="22"/>
        </w:rPr>
        <w:t>its Credit Support Provider’s</w:t>
      </w:r>
      <w:r>
        <w:rPr>
          <w:color w:val="FF0000"/>
          <w:sz w:val="22"/>
          <w:szCs w:val="22"/>
        </w:rPr>
        <w:t>]</w:t>
      </w:r>
      <w:r>
        <w:rPr>
          <w:sz w:val="22"/>
          <w:szCs w:val="22"/>
        </w:rPr>
        <w:t xml:space="preserve"> Credit Rating is below “__” by S&amp;P </w:t>
      </w:r>
      <w:r>
        <w:rPr>
          <w:color w:val="FF0000"/>
          <w:sz w:val="22"/>
          <w:szCs w:val="22"/>
        </w:rPr>
        <w:t>[</w:t>
      </w:r>
      <w:r>
        <w:rPr>
          <w:sz w:val="22"/>
          <w:szCs w:val="22"/>
        </w:rPr>
        <w:t>or below “__” by Moody’s</w:t>
      </w:r>
      <w:r>
        <w:rPr>
          <w:color w:val="FF0000"/>
          <w:sz w:val="22"/>
          <w:szCs w:val="22"/>
        </w:rPr>
        <w:t>]</w:t>
      </w:r>
      <w:r>
        <w:rPr>
          <w:sz w:val="22"/>
          <w:szCs w:val="22"/>
        </w:rPr>
        <w:t xml:space="preserve"> or </w:t>
      </w:r>
      <w:r>
        <w:rPr>
          <w:color w:val="FF0000"/>
          <w:sz w:val="22"/>
          <w:szCs w:val="22"/>
        </w:rPr>
        <w:t>[</w:t>
      </w:r>
      <w:r>
        <w:rPr>
          <w:sz w:val="22"/>
          <w:szCs w:val="22"/>
        </w:rPr>
        <w:t>it</w:t>
      </w:r>
      <w:r>
        <w:rPr>
          <w:color w:val="FF0000"/>
          <w:sz w:val="22"/>
          <w:szCs w:val="22"/>
        </w:rPr>
        <w:t>][</w:t>
      </w:r>
      <w:r>
        <w:rPr>
          <w:sz w:val="22"/>
          <w:szCs w:val="22"/>
        </w:rPr>
        <w:t>its Credit Support Provider</w:t>
      </w:r>
      <w:r>
        <w:rPr>
          <w:color w:val="FF0000"/>
          <w:sz w:val="22"/>
          <w:szCs w:val="22"/>
        </w:rPr>
        <w:t>]</w:t>
      </w:r>
      <w:r>
        <w:rPr>
          <w:sz w:val="22"/>
          <w:szCs w:val="22"/>
        </w:rPr>
        <w:t xml:space="preserve"> fails to have a Credit Rating from S&amp;P </w:t>
      </w:r>
      <w:r>
        <w:rPr>
          <w:color w:val="FF0000"/>
          <w:sz w:val="22"/>
          <w:szCs w:val="22"/>
        </w:rPr>
        <w:t>[</w:t>
      </w:r>
      <w:r>
        <w:rPr>
          <w:sz w:val="22"/>
          <w:szCs w:val="22"/>
        </w:rPr>
        <w:t>or Moody’s</w:t>
      </w:r>
      <w:r>
        <w:rPr>
          <w:color w:val="FF0000"/>
          <w:sz w:val="22"/>
          <w:szCs w:val="22"/>
        </w:rPr>
        <w:t>]</w:t>
      </w:r>
      <w:r>
        <w:rPr>
          <w:sz w:val="22"/>
          <w:szCs w:val="22"/>
        </w:rPr>
        <w:t>.</w:t>
      </w:r>
    </w:p>
    <w:p>
      <w:pPr>
        <w:pStyle w:val="Normal"/>
        <w:spacing w:lineRule="atLeast" w:line="240"/>
        <w:jc w:val="both"/>
        <w:rPr>
          <w:sz w:val="22"/>
          <w:szCs w:val="22"/>
        </w:rPr>
      </w:pPr>
      <w:r>
        <w:rPr>
          <w:sz w:val="22"/>
          <w:szCs w:val="22"/>
        </w:rPr>
      </w:r>
    </w:p>
    <w:p>
      <w:pPr>
        <w:pStyle w:val="Normal"/>
        <w:spacing w:lineRule="atLeast" w:line="240"/>
        <w:jc w:val="both"/>
        <w:rPr>
          <w:color w:val="FF0000"/>
          <w:sz w:val="22"/>
          <w:szCs w:val="22"/>
        </w:rPr>
      </w:pPr>
      <w:r>
        <w:rPr>
          <w:b/>
          <w:bCs/>
          <w:color w:val="FF0000"/>
          <w:sz w:val="22"/>
          <w:szCs w:val="22"/>
          <w:u w:val="single"/>
        </w:rPr>
        <w:t>[INSERT IF MAC CONTAINS FINANCIAL COVENANTS FOR COUNTERPARTY (“Party B”) AND CREDIT RATING FOR ECT’S GUARANTOR (“Party A”)]</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w:t>
      </w:r>
      <w:r>
        <w:rPr>
          <w:color w:val="FF0000"/>
          <w:sz w:val="22"/>
          <w:szCs w:val="22"/>
        </w:rPr>
        <w:t>[</w:t>
      </w:r>
      <w:r>
        <w:rPr>
          <w:sz w:val="22"/>
          <w:szCs w:val="22"/>
        </w:rPr>
        <w:t>Enron Corp.’s</w:t>
      </w:r>
      <w:r>
        <w:rPr>
          <w:color w:val="FF0000"/>
          <w:sz w:val="22"/>
          <w:szCs w:val="22"/>
        </w:rPr>
        <w:t>][</w:t>
      </w:r>
      <w:r>
        <w:rPr>
          <w:sz w:val="22"/>
          <w:szCs w:val="22"/>
        </w:rPr>
        <w:t>its Credit Support Provider’s</w:t>
      </w:r>
      <w:r>
        <w:rPr>
          <w:color w:val="FF0000"/>
          <w:sz w:val="22"/>
          <w:szCs w:val="22"/>
        </w:rPr>
        <w:t>]</w:t>
      </w:r>
      <w:r>
        <w:rPr>
          <w:sz w:val="22"/>
          <w:szCs w:val="22"/>
        </w:rPr>
        <w:t xml:space="preserve"> Credit Rating is below “BBB-” by S&amp;P</w:t>
      </w:r>
      <w:r>
        <w:rPr>
          <w:color w:val="FF0000"/>
          <w:sz w:val="22"/>
          <w:szCs w:val="22"/>
        </w:rPr>
        <w:t xml:space="preserve"> [</w:t>
      </w:r>
      <w:r>
        <w:rPr>
          <w:sz w:val="22"/>
          <w:szCs w:val="22"/>
        </w:rPr>
        <w:t>or below “Baa3” by Moody’s</w:t>
      </w:r>
      <w:r>
        <w:rPr>
          <w:color w:val="FF0000"/>
          <w:sz w:val="22"/>
          <w:szCs w:val="22"/>
        </w:rPr>
        <w:t>]</w:t>
      </w:r>
      <w:r>
        <w:rPr>
          <w:sz w:val="22"/>
          <w:szCs w:val="22"/>
        </w:rPr>
        <w:t xml:space="preserve">; or (b) with respect to Party B, </w:t>
      </w:r>
      <w:r>
        <w:rPr>
          <w:color w:val="FF0000"/>
          <w:sz w:val="22"/>
          <w:szCs w:val="22"/>
        </w:rPr>
        <w:t>[</w:t>
      </w:r>
      <w:r>
        <w:rPr>
          <w:sz w:val="22"/>
          <w:szCs w:val="22"/>
        </w:rPr>
        <w:t>it</w:t>
      </w:r>
      <w:r>
        <w:rPr>
          <w:color w:val="FF0000"/>
          <w:sz w:val="22"/>
          <w:szCs w:val="22"/>
        </w:rPr>
        <w:t>] [</w:t>
      </w:r>
      <w:r>
        <w:rPr>
          <w:sz w:val="22"/>
          <w:szCs w:val="22"/>
        </w:rPr>
        <w:t>its Credit Support Provider</w:t>
      </w:r>
      <w:r>
        <w:rPr>
          <w:color w:val="FF0000"/>
          <w:sz w:val="22"/>
          <w:szCs w:val="22"/>
        </w:rPr>
        <w:t>]</w:t>
      </w:r>
      <w:r>
        <w:rPr>
          <w:sz w:val="22"/>
          <w:szCs w:val="22"/>
        </w:rPr>
        <w:t xml:space="preserve"> shall have any of the following occur at any time: </w:t>
      </w:r>
      <w:r>
        <w:rPr>
          <w:color w:val="FF0000"/>
          <w:sz w:val="22"/>
          <w:szCs w:val="22"/>
        </w:rPr>
        <w:t xml:space="preserve"> [</w:t>
      </w:r>
      <w:r>
        <w:rPr>
          <w:sz w:val="22"/>
          <w:szCs w:val="22"/>
        </w:rPr>
        <w:t xml:space="preserve">(i) the ratio of its </w:t>
      </w:r>
      <w:r>
        <w:rPr>
          <w:color w:val="FF0000"/>
          <w:sz w:val="22"/>
          <w:szCs w:val="22"/>
        </w:rPr>
        <w:t>[</w:t>
      </w:r>
      <w:r>
        <w:rPr>
          <w:sz w:val="22"/>
          <w:szCs w:val="22"/>
        </w:rPr>
        <w:t>Funded Debt</w:t>
      </w:r>
      <w:r>
        <w:rPr>
          <w:color w:val="FF0000"/>
          <w:sz w:val="22"/>
          <w:szCs w:val="22"/>
        </w:rPr>
        <w:t>][</w:t>
      </w:r>
      <w:r>
        <w:rPr>
          <w:sz w:val="22"/>
          <w:szCs w:val="22"/>
        </w:rPr>
        <w:t>Total Debt</w:t>
      </w:r>
      <w:r>
        <w:rPr>
          <w:color w:val="FF0000"/>
          <w:sz w:val="22"/>
          <w:szCs w:val="22"/>
        </w:rPr>
        <w:t>]</w:t>
      </w:r>
      <w:r>
        <w:rPr>
          <w:sz w:val="22"/>
          <w:szCs w:val="22"/>
        </w:rPr>
        <w:t xml:space="preserve"> to Net Worth is more than _____ to _____, or (ii) its Net Worth falls below </w:t>
      </w:r>
      <w:r>
        <w:rPr>
          <w:color w:val="FF0000"/>
          <w:sz w:val="22"/>
          <w:szCs w:val="22"/>
        </w:rPr>
        <w:t>[</w:t>
      </w:r>
      <w:r>
        <w:rPr>
          <w:sz w:val="22"/>
          <w:szCs w:val="22"/>
        </w:rPr>
        <w:t>U.S.</w:t>
      </w:r>
      <w:r>
        <w:rPr>
          <w:color w:val="FF0000"/>
          <w:sz w:val="22"/>
          <w:szCs w:val="22"/>
        </w:rPr>
        <w:t>]</w:t>
      </w:r>
      <w:r>
        <w:rPr>
          <w:sz w:val="22"/>
          <w:szCs w:val="22"/>
        </w:rPr>
        <w:t xml:space="preserve"> $</w:t>
      </w:r>
      <w:r>
        <w:rPr>
          <w:sz w:val="22"/>
          <w:szCs w:val="22"/>
          <w:u w:val="single"/>
        </w:rPr>
        <w:tab/>
        <w:tab/>
      </w:r>
      <w:r>
        <w:rPr>
          <w:sz w:val="22"/>
          <w:szCs w:val="22"/>
        </w:rPr>
        <w:t xml:space="preserve">, or (iii) the ratio of its Cash Flow to Current Maturities of Long Term Debt is less than _ to _, or (iv) the ratio of its Current Assets to Current Liabilities is less than _ to _, or (v) the ratio of its PV15 of PDP to Funded Debt is less than __ to __, or (vi) its EBITDA Coverage Ratio shall be less than __ to __, or </w:t>
      </w:r>
      <w:r>
        <w:rPr>
          <w:color w:val="FF0000"/>
          <w:sz w:val="22"/>
          <w:szCs w:val="22"/>
        </w:rPr>
        <w:t>[</w:t>
      </w:r>
      <w:r>
        <w:rPr>
          <w:sz w:val="22"/>
          <w:szCs w:val="22"/>
        </w:rPr>
        <w:t>INSERT OTHER APPROPRIATE FINANCIAL COVENANTS</w:t>
      </w:r>
      <w:r>
        <w:rPr>
          <w:color w:val="FF0000"/>
          <w:sz w:val="22"/>
          <w:szCs w:val="22"/>
        </w:rPr>
        <w:t>]</w:t>
      </w:r>
      <w:r>
        <w:rPr>
          <w:sz w:val="22"/>
          <w:szCs w:val="22"/>
        </w:rPr>
        <w:t>.</w:t>
      </w:r>
    </w:p>
    <w:p>
      <w:pPr>
        <w:pStyle w:val="Justified"/>
        <w:spacing w:lineRule="atLeas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jc w:val="center"/>
        <w:rPr>
          <w:color w:val="FF0000"/>
          <w:sz w:val="22"/>
          <w:szCs w:val="22"/>
        </w:rPr>
      </w:pPr>
      <w:r>
        <w:rPr>
          <w:b/>
          <w:bCs/>
          <w:color w:val="FF0000"/>
          <w:sz w:val="22"/>
          <w:szCs w:val="22"/>
        </w:rPr>
        <w:t>[</w:t>
      </w:r>
      <w:r>
        <w:rPr>
          <w:b/>
          <w:bCs/>
          <w:color w:val="FF0000"/>
          <w:sz w:val="22"/>
          <w:szCs w:val="22"/>
          <w:u w:val="single"/>
        </w:rPr>
        <w:t>DEFINITIONS TO BE INSERTED AS APPROPRIATE</w:t>
      </w:r>
      <w:r>
        <w:rPr>
          <w:b/>
          <w:bCs/>
          <w:color w:val="FF0000"/>
          <w:sz w:val="22"/>
          <w:szCs w:val="22"/>
        </w:rPr>
        <w:t>]</w:t>
      </w:r>
    </w:p>
    <w:p>
      <w:pPr>
        <w:pStyle w:val="Normal"/>
        <w:spacing w:lineRule="atLeast" w:line="240"/>
        <w:jc w:val="both"/>
        <w:rPr>
          <w:color w:val="FF0000"/>
          <w:sz w:val="22"/>
          <w:szCs w:val="22"/>
        </w:rPr>
      </w:pPr>
      <w:r>
        <w:rPr>
          <w:color w:val="FF0000"/>
          <w:sz w:val="22"/>
          <w:szCs w:val="22"/>
        </w:rPr>
      </w:r>
    </w:p>
    <w:p>
      <w:pPr>
        <w:pStyle w:val="Normal"/>
        <w:spacing w:lineRule="atLeast" w:line="240"/>
        <w:ind w:start="720" w:end="0"/>
        <w:jc w:val="both"/>
        <w:rPr/>
      </w:pPr>
      <w:r>
        <w:rPr>
          <w:b/>
          <w:bCs/>
          <w:sz w:val="22"/>
          <w:szCs w:val="22"/>
        </w:rPr>
        <w:t>“</w:t>
      </w:r>
      <w:r>
        <w:rPr>
          <w:b/>
          <w:bCs/>
          <w:sz w:val="22"/>
          <w:szCs w:val="22"/>
        </w:rPr>
        <w:t>Cash Flow”</w:t>
      </w:r>
      <w:r>
        <w:rPr>
          <w:sz w:val="22"/>
          <w:szCs w:val="22"/>
        </w:rPr>
        <w:t xml:space="preserve"> means Net Income plus depreciation and non-cash charges from the consolidated income statement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Assets”</w:t>
      </w:r>
      <w:r>
        <w:rPr>
          <w:sz w:val="22"/>
          <w:szCs w:val="22"/>
        </w:rPr>
        <w:t xml:space="preserve"> means consolidated current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Current Liabilities”</w:t>
      </w:r>
      <w:r>
        <w:rPr>
          <w:sz w:val="22"/>
          <w:szCs w:val="22"/>
        </w:rPr>
        <w:t xml:space="preserve"> means consolidated current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Current Maturities of Long Term Debt”</w:t>
      </w:r>
      <w:r>
        <w:rPr>
          <w:i/>
          <w:iCs/>
          <w:sz w:val="22"/>
          <w:szCs w:val="22"/>
        </w:rPr>
        <w:t xml:space="preserve"> </w:t>
      </w:r>
      <w:r>
        <w:rPr>
          <w:sz w:val="22"/>
          <w:szCs w:val="22"/>
        </w:rPr>
        <w:t xml:space="preserve">means payments required by third party lenders on consolidated long term debt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within the next twelve (12) calendar months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DBRS”</w:t>
      </w:r>
      <w:r>
        <w:rPr>
          <w:sz w:val="22"/>
          <w:szCs w:val="22"/>
        </w:rPr>
        <w:t xml:space="preserve"> means Dominion Bond Rating Service Limited, or its successor.</w:t>
      </w:r>
    </w:p>
    <w:p>
      <w:pPr>
        <w:pStyle w:val="Normal"/>
        <w:spacing w:lineRule="atLeast" w:line="240"/>
        <w:jc w:val="both"/>
        <w:rPr>
          <w:sz w:val="22"/>
          <w:szCs w:val="22"/>
        </w:rPr>
      </w:pPr>
      <w:r>
        <w:rPr>
          <w:sz w:val="22"/>
          <w:szCs w:val="22"/>
        </w:rPr>
      </w:r>
    </w:p>
    <w:p>
      <w:pPr>
        <w:pStyle w:val="Normal"/>
        <w:spacing w:lineRule="atLeast" w:line="240"/>
        <w:jc w:val="both"/>
        <w:rPr>
          <w:b/>
          <w:bCs/>
          <w:color w:val="FF0000"/>
          <w:sz w:val="22"/>
          <w:szCs w:val="22"/>
        </w:rPr>
      </w:pPr>
      <w:r>
        <w:rPr>
          <w:b/>
          <w:bCs/>
          <w:color w:val="FF0000"/>
          <w:sz w:val="22"/>
          <w:szCs w:val="22"/>
        </w:rPr>
        <w:t>[EBIDTA LANGUAGE - INSERT ALL THE DEFINITIONS BELOW:</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w:t>
      </w:r>
      <w:r>
        <w:rPr>
          <w:color w:val="FF0000"/>
        </w:rPr>
        <w:t>[</w:t>
      </w:r>
      <w:r>
        <w:rPr/>
        <w:t>Party B</w:t>
      </w:r>
      <w:r>
        <w:rPr>
          <w:color w:val="FF0000"/>
        </w:rPr>
        <w:t>][</w:t>
      </w:r>
      <w:r>
        <w:rPr/>
        <w:t>Party B’s Credit Support Provider</w:t>
      </w:r>
      <w:r>
        <w:rPr>
          <w:color w:val="FF0000"/>
        </w:rPr>
        <w:t>]</w:t>
      </w:r>
      <w:r>
        <w:rPr/>
        <w:t xml:space="preserve">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spacing w:lineRule="exact" w:line="240" w:before="240" w:after="0"/>
        <w:ind w:start="720" w:end="0"/>
        <w:jc w:val="both"/>
        <w:rPr/>
      </w:pPr>
      <w:r>
        <w:rPr>
          <w:b/>
          <w:bCs/>
          <w:sz w:val="22"/>
          <w:szCs w:val="22"/>
        </w:rPr>
        <w:t>“</w:t>
      </w:r>
      <w:r>
        <w:rPr>
          <w:b/>
          <w:bCs/>
          <w:sz w:val="22"/>
          <w:szCs w:val="22"/>
        </w:rPr>
        <w:t>Interest Expense”</w:t>
      </w:r>
      <w:r>
        <w:rPr>
          <w:sz w:val="22"/>
          <w:szCs w:val="22"/>
        </w:rPr>
        <w:t xml:space="preserve"> means, for any period, without duplication, the total consolidated interest expense of </w:t>
      </w:r>
      <w:r>
        <w:rPr>
          <w:color w:val="FF0000"/>
          <w:sz w:val="22"/>
          <w:szCs w:val="22"/>
        </w:rPr>
        <w:t>[</w:t>
      </w:r>
      <w:r>
        <w:rPr>
          <w:sz w:val="22"/>
          <w:szCs w:val="22"/>
        </w:rPr>
        <w:t>Party B</w:t>
      </w:r>
      <w:r>
        <w:rPr>
          <w:color w:val="FF0000"/>
          <w:sz w:val="22"/>
          <w:szCs w:val="22"/>
        </w:rPr>
        <w:t>][</w:t>
      </w:r>
      <w:r>
        <w:rPr>
          <w:sz w:val="22"/>
          <w:szCs w:val="22"/>
        </w:rPr>
        <w:t>Party B’s Credit Support Provider</w:t>
      </w:r>
      <w:r>
        <w:rPr>
          <w:color w:val="FF0000"/>
          <w:sz w:val="22"/>
          <w:szCs w:val="22"/>
        </w:rPr>
        <w:t>]</w:t>
      </w:r>
      <w:r>
        <w:rPr>
          <w:sz w:val="22"/>
          <w:szCs w:val="22"/>
        </w:rPr>
        <w:t xml:space="preserve">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jc w:val="both"/>
        <w:rPr>
          <w:sz w:val="22"/>
          <w:szCs w:val="22"/>
        </w:rPr>
      </w:pPr>
      <w:r>
        <w:rPr>
          <w:sz w:val="22"/>
          <w:szCs w:val="22"/>
        </w:rPr>
      </w:r>
    </w:p>
    <w:p>
      <w:pPr>
        <w:pStyle w:val="Heading4"/>
        <w:ind w:hanging="0" w:start="0"/>
        <w:rPr/>
      </w:pPr>
      <w:r>
        <w:rPr/>
        <w:t>For EBIDTA, in addition to the definitions above, add our standard definition for “Net Income”]</w:t>
      </w:r>
    </w:p>
    <w:p>
      <w:pPr>
        <w:pStyle w:val="Normal"/>
        <w:spacing w:lineRule="atLeast" w:line="24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Funded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which by its terms matures more than one year from the date as of which any calculation of Funded Debt is made.</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szCs w:val="22"/>
        </w:rPr>
      </w:pPr>
      <w:r>
        <w:rPr>
          <w:sz w:val="22"/>
          <w:szCs w:val="22"/>
        </w:rPr>
      </w:r>
    </w:p>
    <w:p>
      <w:pPr>
        <w:pStyle w:val="Normal"/>
        <w:ind w:start="720" w:end="0"/>
        <w:jc w:val="both"/>
        <w:rPr>
          <w:sz w:val="22"/>
          <w:szCs w:val="22"/>
        </w:rPr>
      </w:pPr>
      <w:r>
        <w:rPr>
          <w:b/>
          <w:bCs/>
          <w:sz w:val="22"/>
          <w:szCs w:val="22"/>
        </w:rPr>
        <w:t>“</w:t>
      </w:r>
      <w:r>
        <w:rPr>
          <w:b/>
          <w:bCs/>
          <w:sz w:val="22"/>
          <w:szCs w:val="22"/>
        </w:rPr>
        <w:t>Goodwill”</w:t>
      </w:r>
      <w:r>
        <w:rPr>
          <w:sz w:val="22"/>
          <w:szCs w:val="22"/>
        </w:rPr>
        <w:t xml:space="preserve"> means the residual of purchase price over the fair market value of all specific assets net of specific liabilities.  </w:t>
      </w:r>
      <w:r>
        <w:rPr>
          <w:color w:val="FF0000"/>
          <w:sz w:val="22"/>
          <w:szCs w:val="22"/>
        </w:rPr>
        <w:t>[</w:t>
      </w:r>
      <w:r>
        <w:rPr>
          <w:i/>
          <w:iCs/>
          <w:color w:val="FF0000"/>
          <w:sz w:val="22"/>
          <w:szCs w:val="22"/>
        </w:rPr>
        <w:t>Note:  when you use “Goodwill”, in the definition of “Net Worth” you need to change “(exclusive of intangible assets")” to “(exclusive of Goodwill</w:t>
      </w:r>
      <w:r>
        <w:rPr>
          <w:color w:val="FF0000"/>
          <w:sz w:val="22"/>
          <w:szCs w:val="22"/>
        </w:rPr>
        <w:t>)”]</w:t>
      </w:r>
    </w:p>
    <w:p>
      <w:pPr>
        <w:pStyle w:val="Normal"/>
        <w:spacing w:lineRule="atLeast" w:line="240"/>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(exclusive of intangible assets), minus the consolidated total liabilities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each as would be reflected on a consolidated balance sheet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 xml:space="preserve"> prepared in accordance with GAAP.</w:t>
      </w:r>
    </w:p>
    <w:p>
      <w:pPr>
        <w:pStyle w:val="Normal"/>
        <w:spacing w:lineRule="atLeast" w:line="240"/>
        <w:ind w:start="720"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PV15 of PDP”</w:t>
      </w:r>
      <w:r>
        <w:rPr>
          <w:i/>
          <w:iCs/>
          <w:sz w:val="22"/>
          <w:szCs w:val="22"/>
        </w:rPr>
        <w:t xml:space="preserve"> </w:t>
      </w:r>
      <w:r>
        <w:rPr>
          <w:sz w:val="22"/>
          <w:szCs w:val="22"/>
        </w:rPr>
        <w:t xml:space="preserve">shall mean the present value worth before income taxes discounted at a rate of 15% of Party B’s proved developed producing reserves as indicated in the most recent Engineering Report furnished to Party A. </w:t>
      </w:r>
    </w:p>
    <w:p>
      <w:pPr>
        <w:pStyle w:val="Normal"/>
        <w:spacing w:lineRule="atLeast" w:line="240"/>
        <w:ind w:end="144"/>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Header"/>
        <w:ind w:start="720" w:end="0"/>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w:t>
      </w:r>
      <w:r>
        <w:rPr>
          <w:color w:val="FF0000"/>
          <w:sz w:val="22"/>
          <w:szCs w:val="22"/>
        </w:rPr>
        <w:t>[</w:t>
      </w:r>
      <w:r>
        <w:rPr>
          <w:sz w:val="22"/>
          <w:szCs w:val="22"/>
        </w:rPr>
        <w:t>Party B</w:t>
      </w:r>
      <w:r>
        <w:rPr>
          <w:color w:val="FF0000"/>
          <w:sz w:val="22"/>
          <w:szCs w:val="22"/>
        </w:rPr>
        <w:t>] [</w:t>
      </w:r>
      <w:r>
        <w:rPr>
          <w:sz w:val="22"/>
          <w:szCs w:val="22"/>
        </w:rPr>
        <w:t>Party B’s Credit Support Provider</w:t>
      </w:r>
      <w:r>
        <w:rPr>
          <w:color w:val="FF0000"/>
          <w:sz w:val="22"/>
          <w:szCs w:val="22"/>
        </w:rPr>
        <w:t>]</w:t>
      </w:r>
      <w:r>
        <w:rPr>
          <w:sz w:val="22"/>
          <w:szCs w:val="22"/>
        </w:rPr>
        <w:t>.</w:t>
      </w:r>
    </w:p>
    <w:p>
      <w:pPr>
        <w:sectPr>
          <w:footerReference w:type="default" r:id="rId3"/>
          <w:footerReference w:type="first" r:id="rId4"/>
          <w:footnotePr>
            <w:numFmt w:val="decimal"/>
          </w:footnotePr>
          <w:type w:val="nextPage"/>
          <w:pgSz w:w="12240" w:h="15840"/>
          <w:pgMar w:left="1080" w:right="1080" w:gutter="0" w:header="0" w:top="1440" w:footer="720" w:bottom="776"/>
          <w:pgNumType w:start="1" w:fmt="decimal"/>
          <w:formProt w:val="false"/>
          <w:textDirection w:val="lrTb"/>
          <w:docGrid w:type="default" w:linePitch="360" w:charSpace="0"/>
        </w:sectPr>
        <w:pStyle w:val="Normal"/>
        <w:spacing w:lineRule="atLeast" w:line="240"/>
        <w:ind w:start="720" w:end="144"/>
        <w:jc w:val="both"/>
        <w:rPr>
          <w:b/>
          <w:bCs/>
          <w:sz w:val="22"/>
          <w:szCs w:val="22"/>
        </w:rPr>
      </w:pPr>
      <w:r>
        <w:rPr>
          <w:b/>
          <w:bCs/>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keepLines/>
        <w:spacing w:lineRule="exact" w:line="240"/>
        <w:jc w:val="center"/>
        <w:rPr>
          <w:sz w:val="22"/>
          <w:szCs w:val="22"/>
        </w:rPr>
      </w:pPr>
      <w:r>
        <w:rPr>
          <w:sz w:val="22"/>
          <w:szCs w:val="22"/>
        </w:rPr>
      </w:r>
    </w:p>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/mnt/main-storage/datasets/enron-docs/doc/isdacsa_8_18_00_.doc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10</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/mnt/main-storage/datasets/enron-docs/doc/isdacsa_8_18_00_.doc</w:t>
    </w:r>
    <w:r>
      <w:rPr>
        <w:sz w:val="16"/>
        <w:szCs w:val="16"/>
      </w:rPr>
      <w:fldChar w:fldCharType="end"/>
    </w:r>
  </w:p>
  <w:p>
    <w:pPr>
      <w:pStyle w:val="Footer"/>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/mnt/main-storage/datasets/enron-docs/doc/isdacsa_8_18_00_.doc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/mnt/main-storage/datasets/enron-docs/doc/isdacsa_8_18_00_.doc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18"/>
          <w:szCs w:val="18"/>
        </w:rPr>
        <w:t xml:space="preserve"> </w:t>
      </w:r>
      <w:r>
        <w:rPr>
          <w:sz w:val="18"/>
          <w:szCs w:val="18"/>
        </w:rPr>
        <w:t>Use for Mexican counterparties</w:t>
      </w:r>
    </w:p>
  </w:footnote>
  <w:footnote w:id="3">
    <w:p>
      <w:pPr>
        <w:pStyle w:val="FootnoteText"/>
        <w:rPr/>
      </w:pPr>
      <w:r>
        <w:rPr>
          <w:rStyle w:val="FootnoteCharacters"/>
        </w:rPr>
        <w:footnoteRef/>
      </w:r>
      <w:r>
        <w:rPr/>
        <w:t xml:space="preserve"> </w:t>
      </w:r>
      <w:r>
        <w:rPr>
          <w:sz w:val="18"/>
          <w:szCs w:val="18"/>
        </w:rPr>
        <w:t>Use for Argentine counterparties</w:t>
      </w:r>
    </w:p>
  </w:footnote>
  <w:footnote w:id="4">
    <w:p>
      <w:pPr>
        <w:pStyle w:val="FootnoteText"/>
        <w:rPr/>
      </w:pPr>
      <w:r>
        <w:rPr>
          <w:rStyle w:val="FootnoteCharacters"/>
        </w:rPr>
        <w:footnoteRef/>
      </w:r>
      <w:r>
        <w:rPr/>
        <w:t xml:space="preserve"> </w:t>
      </w:r>
      <w:r>
        <w:rPr>
          <w:sz w:val="18"/>
          <w:szCs w:val="18"/>
        </w:rPr>
        <w:t>Use for Canadian counterparties</w:t>
      </w:r>
    </w:p>
  </w:footnote>
  <w:footnote w:id="5">
    <w:p>
      <w:pPr>
        <w:pStyle w:val="FootnoteText"/>
        <w:rPr/>
      </w:pPr>
      <w:r>
        <w:rPr>
          <w:rStyle w:val="FootnoteCharacters"/>
        </w:rPr>
        <w:footnoteRef/>
      </w:r>
      <w:r>
        <w:rPr>
          <w:sz w:val="18"/>
          <w:szCs w:val="18"/>
        </w:rPr>
        <w:t xml:space="preserve">  </w:t>
      </w:r>
      <w:r>
        <w:rPr>
          <w:sz w:val="18"/>
          <w:szCs w:val="18"/>
        </w:rPr>
        <w:t>Insert if Credit Support Amount will be returned when the Pledgor becomes the “Exposed Party”</w:t>
      </w:r>
    </w:p>
  </w:footnote>
  <w:footnote w:id="6">
    <w:p>
      <w:pPr>
        <w:pStyle w:val="FootnoteText"/>
        <w:rPr/>
      </w:pPr>
      <w:r>
        <w:rPr>
          <w:rStyle w:val="FootnoteCharacters"/>
        </w:rPr>
        <w:footnoteRef/>
      </w:r>
      <w:r>
        <w:rPr>
          <w:sz w:val="18"/>
          <w:szCs w:val="18"/>
        </w:rPr>
        <w:t xml:space="preserve"> </w:t>
      </w:r>
      <w:r>
        <w:rPr>
          <w:sz w:val="18"/>
          <w:szCs w:val="18"/>
        </w:rPr>
        <w:t>Delete for bank counterparty; likely insert for industrial counterparty</w:t>
      </w:r>
    </w:p>
  </w:footnote>
  <w:footnote w:id="7">
    <w:p>
      <w:pPr>
        <w:pStyle w:val="FootnoteText"/>
        <w:rPr/>
      </w:pPr>
      <w:r>
        <w:rPr>
          <w:rStyle w:val="FootnoteCharacters"/>
        </w:rPr>
        <w:footnoteRef/>
      </w:r>
      <w:r>
        <w:rPr>
          <w:sz w:val="18"/>
          <w:szCs w:val="18"/>
        </w:rPr>
        <w:t xml:space="preserve"> </w:t>
      </w:r>
      <w:r>
        <w:rPr>
          <w:sz w:val="18"/>
          <w:szCs w:val="18"/>
        </w:rPr>
        <w:t>If two rated guarantors, then delete (i) the phrase "</w:t>
      </w:r>
      <w:r>
        <w:rPr>
          <w:sz w:val="18"/>
          <w:szCs w:val="18"/>
          <w:u w:val="single"/>
        </w:rPr>
        <w:t>the party (or</w:t>
      </w:r>
      <w:r>
        <w:rPr>
          <w:sz w:val="18"/>
          <w:szCs w:val="18"/>
        </w:rPr>
        <w:t>" and (ii) parenthesis after "</w:t>
      </w:r>
      <w:r>
        <w:rPr>
          <w:sz w:val="18"/>
          <w:szCs w:val="18"/>
          <w:u w:val="single"/>
        </w:rPr>
        <w:t>Corp</w:t>
      </w:r>
      <w:r>
        <w:rPr>
          <w:sz w:val="18"/>
          <w:szCs w:val="18"/>
        </w:rPr>
        <w:t>." and (iii) brackets surrounding the phrase "</w:t>
      </w:r>
      <w:r>
        <w:rPr>
          <w:sz w:val="18"/>
          <w:szCs w:val="18"/>
          <w:u w:val="single"/>
        </w:rPr>
        <w:t>in the case of Counterparty,                and</w:t>
      </w:r>
      <w:r>
        <w:rPr>
          <w:sz w:val="18"/>
          <w:szCs w:val="18"/>
        </w:rPr>
        <w:t>"</w:t>
      </w:r>
    </w:p>
  </w:footnote>
  <w:footnote w:id="8">
    <w:p>
      <w:pPr>
        <w:pStyle w:val="FootnoteText"/>
        <w:rPr/>
      </w:pPr>
      <w:r>
        <w:rPr>
          <w:rStyle w:val="FootnoteCharacters"/>
        </w:rPr>
        <w:footnoteRef/>
      </w:r>
      <w:r>
        <w:rPr>
          <w:sz w:val="18"/>
          <w:szCs w:val="18"/>
        </w:rPr>
        <w:t xml:space="preserve">  </w:t>
      </w:r>
      <w:r>
        <w:rPr>
          <w:sz w:val="18"/>
          <w:szCs w:val="18"/>
        </w:rPr>
        <w:t>Insert as appropriate</w:t>
      </w:r>
    </w:p>
  </w:footnote>
  <w:footnote w:id="9">
    <w:p>
      <w:pPr>
        <w:pStyle w:val="FootnoteText"/>
        <w:rPr/>
      </w:pPr>
      <w:r>
        <w:rPr>
          <w:rStyle w:val="FootnoteCharacters"/>
        </w:rPr>
        <w:footnoteRef/>
      </w:r>
      <w:r>
        <w:rPr>
          <w:sz w:val="18"/>
          <w:szCs w:val="18"/>
        </w:rPr>
        <w:t xml:space="preserve"> </w:t>
      </w:r>
      <w:r>
        <w:rPr>
          <w:sz w:val="18"/>
          <w:szCs w:val="18"/>
        </w:rPr>
        <w:t>Insert “[X]” when Additional Termination Events are added for a party in the Schedule</w:t>
      </w:r>
    </w:p>
  </w:footnote>
  <w:footnote w:id="10">
    <w:p>
      <w:pPr>
        <w:pStyle w:val="FootnoteText"/>
        <w:rPr/>
      </w:pPr>
      <w:r>
        <w:rPr>
          <w:rStyle w:val="FootnoteCharacters"/>
        </w:rPr>
        <w:footnoteRef/>
      </w:r>
      <w:r>
        <w:rPr>
          <w:sz w:val="18"/>
          <w:szCs w:val="18"/>
        </w:rPr>
        <w:t xml:space="preserve"> </w:t>
      </w:r>
      <w:r>
        <w:rPr>
          <w:sz w:val="18"/>
          <w:szCs w:val="18"/>
        </w:rPr>
        <w:t>Insert for paper and pulp transactions and in markets where it is difficult to obtain quotations from a marketmaker (check w/a Swap Group Lawyer).</w:t>
      </w:r>
    </w:p>
  </w:footnote>
  <w:footnote w:id="11">
    <w:p>
      <w:pPr>
        <w:pStyle w:val="FootnoteText"/>
        <w:rPr/>
      </w:pPr>
      <w:r>
        <w:rPr>
          <w:rStyle w:val="FootnoteCharacters"/>
        </w:rPr>
        <w:footnoteRef/>
      </w:r>
      <w:r>
        <w:rPr>
          <w:sz w:val="18"/>
          <w:szCs w:val="18"/>
        </w:rPr>
        <w:t xml:space="preserve"> </w:t>
      </w:r>
      <w:r>
        <w:rPr>
          <w:sz w:val="18"/>
          <w:szCs w:val="18"/>
        </w:rPr>
        <w:t>Insert this only when Party B is not permitted to hold collateral</w:t>
      </w:r>
    </w:p>
  </w:footnote>
  <w:footnote w:id="12">
    <w:p>
      <w:pPr>
        <w:pStyle w:val="FootnoteText"/>
        <w:rPr/>
      </w:pPr>
      <w:r>
        <w:rPr>
          <w:rStyle w:val="FootnoteCharacters"/>
        </w:rPr>
        <w:footnoteRef/>
      </w:r>
      <w:r>
        <w:rPr/>
        <w:t xml:space="preserve"> </w:t>
      </w:r>
      <w:r>
        <w:rPr>
          <w:sz w:val="18"/>
          <w:szCs w:val="18"/>
        </w:rPr>
        <w:t>Standard language</w:t>
      </w:r>
    </w:p>
  </w:footnote>
  <w:footnote w:id="13">
    <w:p>
      <w:pPr>
        <w:pStyle w:val="FootnoteText"/>
        <w:rPr/>
      </w:pPr>
      <w:r>
        <w:rPr>
          <w:rStyle w:val="FootnoteCharacters"/>
        </w:rPr>
        <w:footnoteRef/>
      </w:r>
      <w:r>
        <w:rPr/>
        <w:t xml:space="preserve"> </w:t>
      </w:r>
      <w:r>
        <w:rPr>
          <w:sz w:val="18"/>
          <w:szCs w:val="18"/>
        </w:rPr>
        <w:t>Always use for Mexican counterparties</w:t>
      </w:r>
    </w:p>
  </w:footnote>
  <w:footnote w:id="14">
    <w:p>
      <w:pPr>
        <w:pStyle w:val="FootnoteText"/>
        <w:rPr/>
      </w:pPr>
      <w:r>
        <w:rPr>
          <w:rStyle w:val="FootnoteCharacters"/>
        </w:rPr>
        <w:footnoteRef/>
      </w:r>
      <w:r>
        <w:rPr>
          <w:sz w:val="18"/>
          <w:szCs w:val="18"/>
        </w:rPr>
        <w:t xml:space="preserve"> </w:t>
      </w:r>
      <w:r>
        <w:rPr>
          <w:sz w:val="18"/>
          <w:szCs w:val="18"/>
        </w:rPr>
        <w:t>Standard insert for Party B</w:t>
      </w:r>
    </w:p>
  </w:footnote>
  <w:footnote w:id="15">
    <w:p>
      <w:pPr>
        <w:pStyle w:val="FootnoteText"/>
        <w:rPr/>
      </w:pPr>
      <w:r>
        <w:rPr>
          <w:rStyle w:val="FootnoteCharacters"/>
        </w:rPr>
        <w:footnoteRef/>
      </w:r>
      <w:r>
        <w:rPr>
          <w:sz w:val="18"/>
          <w:szCs w:val="18"/>
        </w:rPr>
        <w:t xml:space="preserve"> </w:t>
      </w:r>
      <w:r>
        <w:rPr>
          <w:sz w:val="18"/>
          <w:szCs w:val="18"/>
        </w:rPr>
        <w:t>Insert this language, in replacement of the preceding language, only if Party B is not permitted to hold collateral</w:t>
      </w:r>
    </w:p>
  </w:footnote>
  <w:footnote w:id="16">
    <w:p>
      <w:pPr>
        <w:pStyle w:val="FootnoteText"/>
        <w:rPr/>
      </w:pPr>
      <w:r>
        <w:rPr>
          <w:rStyle w:val="FootnoteCharacters"/>
        </w:rPr>
        <w:footnoteRef/>
      </w:r>
      <w:r>
        <w:rPr>
          <w:sz w:val="18"/>
          <w:szCs w:val="18"/>
        </w:rPr>
        <w:t xml:space="preserve"> </w:t>
      </w:r>
      <w:r>
        <w:rPr>
          <w:sz w:val="18"/>
          <w:szCs w:val="18"/>
        </w:rPr>
        <w:t>Standard language</w:t>
      </w:r>
    </w:p>
  </w:footnote>
  <w:footnote w:id="17">
    <w:p>
      <w:pPr>
        <w:pStyle w:val="FootnoteText"/>
        <w:rPr/>
      </w:pPr>
      <w:r>
        <w:rPr>
          <w:rStyle w:val="FootnoteCharacters"/>
        </w:rPr>
        <w:footnoteRef/>
      </w:r>
      <w:r>
        <w:rPr>
          <w:sz w:val="18"/>
          <w:szCs w:val="18"/>
        </w:rPr>
        <w:t xml:space="preserve"> </w:t>
      </w:r>
      <w:r>
        <w:rPr>
          <w:sz w:val="18"/>
          <w:szCs w:val="18"/>
        </w:rPr>
        <w:t>Insert this language only when Party B is not permitted to hold collateral</w:t>
      </w:r>
    </w:p>
  </w:footnote>
  <w:footnote w:id="18">
    <w:p>
      <w:pPr>
        <w:pStyle w:val="FootnoteText"/>
        <w:rPr/>
      </w:pPr>
      <w:r>
        <w:rPr>
          <w:rStyle w:val="FootnoteCharacters"/>
        </w:rPr>
        <w:footnoteRef/>
      </w:r>
      <w:r>
        <w:rPr>
          <w:sz w:val="18"/>
          <w:szCs w:val="18"/>
        </w:rPr>
        <w:t xml:space="preserve"> </w:t>
      </w:r>
      <w:r>
        <w:rPr>
          <w:sz w:val="18"/>
          <w:szCs w:val="18"/>
        </w:rPr>
        <w:t>Insert this language only when Party B is not permitted to hold collateral, otherwise use preceding language</w:t>
      </w:r>
    </w:p>
  </w:footnote>
  <w:footnote w:id="19">
    <w:p>
      <w:pPr>
        <w:pStyle w:val="FootnoteText"/>
        <w:rPr/>
      </w:pPr>
      <w:r>
        <w:rPr>
          <w:rStyle w:val="FootnoteCharacters"/>
        </w:rPr>
        <w:footnoteRef/>
      </w:r>
      <w:r>
        <w:rPr/>
        <w:t xml:space="preserve"> </w:t>
      </w:r>
      <w:r>
        <w:rPr>
          <w:sz w:val="18"/>
          <w:szCs w:val="18"/>
        </w:rPr>
        <w:t>Insert this language only when Party B is not permitted to hold collateral, otherwise use preceding language</w:t>
      </w:r>
    </w:p>
  </w:footnote>
  <w:footnote w:id="20">
    <w:p>
      <w:pPr>
        <w:pStyle w:val="FootnoteText"/>
        <w:rPr/>
      </w:pPr>
      <w:r>
        <w:rPr>
          <w:rStyle w:val="FootnoteCharacters"/>
        </w:rPr>
        <w:footnoteRef/>
      </w:r>
      <w:r>
        <w:rPr/>
        <w:t xml:space="preserve"> </w:t>
      </w:r>
      <w:r>
        <w:rPr>
          <w:sz w:val="18"/>
          <w:szCs w:val="18"/>
        </w:rPr>
        <w:t>Insert this language only when Party B is not permitted to hold collateral, otherwise use preceding language</w:t>
      </w:r>
    </w:p>
  </w:footnote>
  <w:footnote w:id="21">
    <w:p>
      <w:pPr>
        <w:pStyle w:val="FootnoteText"/>
        <w:rPr/>
      </w:pPr>
      <w:r>
        <w:rPr>
          <w:rStyle w:val="FootnoteCharacters"/>
        </w:rPr>
        <w:footnoteRef/>
      </w:r>
      <w:r>
        <w:rPr/>
        <w:t xml:space="preserve"> </w:t>
      </w:r>
      <w:r>
        <w:rPr>
          <w:sz w:val="18"/>
          <w:szCs w:val="18"/>
        </w:rPr>
        <w:t>Insert this language only when Party B is not permitted to hold collateral, otherwise use preceding language</w:t>
      </w:r>
    </w:p>
  </w:footnote>
  <w:footnote w:id="22">
    <w:p>
      <w:pPr>
        <w:pStyle w:val="FootnoteText"/>
        <w:rPr/>
      </w:pPr>
      <w:r>
        <w:rPr>
          <w:rStyle w:val="FootnoteCharacters"/>
        </w:rPr>
        <w:footnoteRef/>
      </w:r>
      <w:r>
        <w:rPr/>
        <w:t xml:space="preserve"> </w:t>
      </w:r>
      <w:r>
        <w:rPr>
          <w:sz w:val="18"/>
          <w:szCs w:val="18"/>
        </w:rPr>
        <w:t>Insert this language only when Party B is not permitted to hold collateral, otherwise use preceding language</w:t>
      </w:r>
    </w:p>
  </w:footnote>
  <w:footnote w:id="23">
    <w:p>
      <w:pPr>
        <w:pStyle w:val="FootnoteText"/>
        <w:rPr/>
      </w:pPr>
      <w:r>
        <w:rPr>
          <w:rStyle w:val="FootnoteCharacters"/>
        </w:rPr>
        <w:footnoteRef/>
      </w:r>
      <w:r>
        <w:rPr/>
        <w:t xml:space="preserve"> </w:t>
      </w:r>
      <w:r>
        <w:rPr>
          <w:sz w:val="18"/>
          <w:szCs w:val="18"/>
        </w:rPr>
        <w:t>Insert this language only when Party B is not permitted to hold collateral, otherwise use preceding language</w:t>
      </w:r>
    </w:p>
  </w:footnote>
  <w:footnote w:id="24">
    <w:p>
      <w:pPr>
        <w:pStyle w:val="FootnoteText"/>
        <w:rPr/>
      </w:pPr>
      <w:r>
        <w:rPr>
          <w:rStyle w:val="FootnoteCharacters"/>
        </w:rPr>
        <w:footnoteRef/>
      </w:r>
      <w:r>
        <w:rPr/>
        <w:t xml:space="preserve"> </w:t>
      </w:r>
      <w:r>
        <w:rPr>
          <w:sz w:val="18"/>
          <w:szCs w:val="18"/>
        </w:rPr>
        <w:t>Insert this language only when Party B is not permitted to hold collateral, otherwise use preceding language</w:t>
      </w:r>
    </w:p>
  </w:footnote>
  <w:footnote w:id="25">
    <w:p>
      <w:pPr>
        <w:pStyle w:val="FootnoteText"/>
        <w:rPr/>
      </w:pPr>
      <w:r>
        <w:rPr>
          <w:rStyle w:val="FootnoteCharacters"/>
        </w:rPr>
        <w:footnoteRef/>
      </w:r>
      <w:r>
        <w:rPr>
          <w:sz w:val="18"/>
          <w:szCs w:val="18"/>
        </w:rPr>
        <w:t xml:space="preserve"> </w:t>
      </w:r>
      <w:r>
        <w:rPr>
          <w:sz w:val="18"/>
          <w:szCs w:val="18"/>
        </w:rPr>
        <w:t>Insert bracketed language only when Party B is not permitted to hold collateral</w:t>
      </w:r>
    </w:p>
  </w:footnote>
  <w:footnote w:id="26">
    <w:p>
      <w:pPr>
        <w:pStyle w:val="FootnoteText"/>
        <w:rPr/>
      </w:pPr>
      <w:r>
        <w:rPr>
          <w:rStyle w:val="FootnoteCharacters"/>
        </w:rPr>
        <w:footnoteRef/>
      </w:r>
      <w:r>
        <w:rPr>
          <w:sz w:val="18"/>
          <w:szCs w:val="18"/>
        </w:rPr>
        <w:t xml:space="preserve"> </w:t>
      </w:r>
      <w:r>
        <w:rPr>
          <w:sz w:val="18"/>
          <w:szCs w:val="18"/>
        </w:rPr>
        <w:t>Insert if Counterparty is a U.S. bank or thrift subject to FDIA</w:t>
      </w:r>
    </w:p>
  </w:footnote>
  <w:footnote w:id="27">
    <w:p>
      <w:pPr>
        <w:pStyle w:val="FootnoteText"/>
        <w:rPr/>
      </w:pPr>
      <w:r>
        <w:rPr>
          <w:rStyle w:val="FootnoteCharacters"/>
        </w:rPr>
        <w:footnoteRef/>
      </w:r>
      <w:r>
        <w:rPr>
          <w:sz w:val="18"/>
          <w:szCs w:val="18"/>
        </w:rPr>
        <w:t xml:space="preserve"> </w:t>
      </w:r>
      <w:r>
        <w:rPr>
          <w:sz w:val="18"/>
          <w:szCs w:val="18"/>
        </w:rPr>
        <w:t>Insert only if Credit tells us to</w:t>
      </w:r>
    </w:p>
  </w:footnote>
  <w:footnote w:id="28">
    <w:p>
      <w:pPr>
        <w:pStyle w:val="FootnoteText"/>
        <w:rPr/>
      </w:pPr>
      <w:r>
        <w:rPr>
          <w:rStyle w:val="FootnoteCharacters"/>
        </w:rPr>
        <w:footnoteRef/>
      </w:r>
      <w:r>
        <w:rPr>
          <w:sz w:val="18"/>
          <w:szCs w:val="18"/>
        </w:rPr>
        <w:t xml:space="preserve"> </w:t>
      </w:r>
      <w:r>
        <w:rPr>
          <w:sz w:val="18"/>
          <w:szCs w:val="18"/>
        </w:rPr>
        <w:t>Delete for stairstep threshold</w:t>
      </w:r>
    </w:p>
  </w:footnote>
  <w:footnote w:id="29">
    <w:p>
      <w:pPr>
        <w:pStyle w:val="FootnoteText"/>
        <w:rPr/>
      </w:pPr>
      <w:r>
        <w:rPr>
          <w:rStyle w:val="FootnoteCharacters"/>
        </w:rPr>
        <w:footnoteRef/>
      </w:r>
      <w:r>
        <w:rPr>
          <w:sz w:val="16"/>
          <w:szCs w:val="16"/>
        </w:rPr>
        <w:t xml:space="preserve"> </w:t>
      </w:r>
      <w:r>
        <w:rPr>
          <w:sz w:val="18"/>
          <w:szCs w:val="18"/>
        </w:rPr>
        <w:t>Insert only if the Minimum Transfer Amount is material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2000-08-21T11:40:00Z</dcterms:created>
  <dc:creator>mheard</dc:creator>
  <dc:description/>
  <dc:language>en-CA</dc:language>
  <cp:lastModifiedBy>sbaile2</cp:lastModifiedBy>
  <cp:lastPrinted>2000-08-21T11:48:00Z</cp:lastPrinted>
  <dcterms:modified xsi:type="dcterms:W3CDTF">2000-08-23T16:54:00Z</dcterms:modified>
  <cp:revision>7</cp:revision>
  <dc:subject/>
  <dc:title>ISDA EXHIBITS DOCUMENT</dc:title>
</cp:coreProperties>
</file>